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38" w:rsidRDefault="00ED7638" w:rsidP="00ED7638">
      <w:pPr>
        <w:spacing w:line="360" w:lineRule="auto"/>
        <w:rPr>
          <w:rFonts w:ascii="Times New Roman" w:hAnsi="Times New Roman"/>
          <w:b/>
        </w:rPr>
      </w:pPr>
      <w:r>
        <w:rPr>
          <w:rFonts w:ascii="Times New Roman" w:hAnsi="Times New Roman"/>
          <w:b/>
        </w:rPr>
        <w:t>USM Carnegie Course Redesign Initiative</w:t>
      </w:r>
    </w:p>
    <w:p w:rsidR="00477B8C" w:rsidRDefault="00ED7638" w:rsidP="00ED7638">
      <w:pPr>
        <w:spacing w:line="360" w:lineRule="auto"/>
        <w:rPr>
          <w:rFonts w:ascii="Times New Roman" w:hAnsi="Times New Roman"/>
          <w:b/>
        </w:rPr>
      </w:pPr>
      <w:r>
        <w:rPr>
          <w:rFonts w:ascii="Times New Roman" w:hAnsi="Times New Roman"/>
          <w:b/>
        </w:rPr>
        <w:t>Final Report: Engl 100 / Composition at UMBC</w:t>
      </w:r>
    </w:p>
    <w:p w:rsidR="00ED7638" w:rsidRPr="00477B8C" w:rsidRDefault="00ED7638" w:rsidP="00ED7638">
      <w:pPr>
        <w:spacing w:line="360" w:lineRule="auto"/>
        <w:rPr>
          <w:rFonts w:ascii="Times New Roman" w:hAnsi="Times New Roman"/>
          <w:b/>
          <w:sz w:val="16"/>
        </w:rPr>
      </w:pPr>
    </w:p>
    <w:p w:rsidR="00ED7638" w:rsidRPr="00ED7638" w:rsidRDefault="00ED7638" w:rsidP="00ED7638">
      <w:pPr>
        <w:pStyle w:val="ListParagraph"/>
        <w:numPr>
          <w:ilvl w:val="0"/>
          <w:numId w:val="1"/>
        </w:numPr>
        <w:spacing w:line="360" w:lineRule="auto"/>
        <w:rPr>
          <w:rFonts w:ascii="Times New Roman" w:hAnsi="Times New Roman"/>
        </w:rPr>
      </w:pPr>
      <w:r w:rsidRPr="00ED7638">
        <w:rPr>
          <w:rFonts w:ascii="Times New Roman" w:hAnsi="Times New Roman"/>
        </w:rPr>
        <w:t>Impact on Student Learning</w:t>
      </w:r>
    </w:p>
    <w:p w:rsidR="00ED7638" w:rsidRDefault="00ED7638" w:rsidP="00ED7638">
      <w:pPr>
        <w:pStyle w:val="ListParagraph"/>
        <w:numPr>
          <w:ilvl w:val="1"/>
          <w:numId w:val="1"/>
        </w:numPr>
        <w:spacing w:line="360" w:lineRule="auto"/>
        <w:rPr>
          <w:rFonts w:ascii="Times New Roman" w:hAnsi="Times New Roman"/>
        </w:rPr>
      </w:pPr>
      <w:r>
        <w:rPr>
          <w:rFonts w:ascii="Times New Roman" w:hAnsi="Times New Roman"/>
        </w:rPr>
        <w:t>Improved Learning</w:t>
      </w:r>
    </w:p>
    <w:p w:rsidR="00D51B1D" w:rsidRDefault="00ED7638" w:rsidP="00ED7638">
      <w:pPr>
        <w:pStyle w:val="ListParagraph"/>
        <w:ind w:left="1440"/>
        <w:rPr>
          <w:rFonts w:ascii="Times New Roman" w:hAnsi="Times New Roman"/>
          <w:color w:val="000000"/>
        </w:rPr>
      </w:pPr>
      <w:r>
        <w:rPr>
          <w:rFonts w:ascii="Times New Roman" w:hAnsi="Times New Roman"/>
        </w:rPr>
        <w:t>To measure the effect of the redesign on our learning outcome</w:t>
      </w:r>
      <w:r w:rsidR="002F436E">
        <w:rPr>
          <w:rFonts w:ascii="Times New Roman" w:hAnsi="Times New Roman"/>
        </w:rPr>
        <w:t>s for the course, we examined 27</w:t>
      </w:r>
      <w:r>
        <w:rPr>
          <w:rFonts w:ascii="Times New Roman" w:hAnsi="Times New Roman"/>
        </w:rPr>
        <w:t xml:space="preserve"> essays from traditional section</w:t>
      </w:r>
      <w:r w:rsidR="00427EF2">
        <w:rPr>
          <w:rFonts w:ascii="Times New Roman" w:hAnsi="Times New Roman"/>
        </w:rPr>
        <w:t>s in F</w:t>
      </w:r>
      <w:r>
        <w:rPr>
          <w:rFonts w:ascii="Times New Roman" w:hAnsi="Times New Roman"/>
        </w:rPr>
        <w:t>11 and 49 essays from redesigned sections in Sp13, specifically assessing how well they satisfied four of our learning outcomes</w:t>
      </w:r>
      <w:r w:rsidR="005C107A">
        <w:rPr>
          <w:rFonts w:ascii="Times New Roman" w:hAnsi="Times New Roman"/>
        </w:rPr>
        <w:t xml:space="preserve">: </w:t>
      </w:r>
      <w:r w:rsidR="00637759">
        <w:rPr>
          <w:rFonts w:ascii="Times New Roman" w:hAnsi="Times New Roman"/>
        </w:rPr>
        <w:t xml:space="preserve">#1 </w:t>
      </w:r>
      <w:r w:rsidR="005C107A" w:rsidRPr="005C107A">
        <w:rPr>
          <w:rFonts w:ascii="Times New Roman" w:hAnsi="Times New Roman"/>
          <w:color w:val="000000"/>
        </w:rPr>
        <w:t>supporting assertions with evidence;</w:t>
      </w:r>
      <w:r w:rsidR="005C107A">
        <w:rPr>
          <w:rFonts w:ascii="Times New Roman" w:hAnsi="Times New Roman"/>
          <w:color w:val="000000"/>
        </w:rPr>
        <w:t xml:space="preserve"> </w:t>
      </w:r>
      <w:r w:rsidR="00637759">
        <w:rPr>
          <w:rFonts w:ascii="Times New Roman" w:hAnsi="Times New Roman"/>
          <w:color w:val="000000"/>
        </w:rPr>
        <w:t xml:space="preserve">#2 </w:t>
      </w:r>
      <w:r w:rsidR="005C107A">
        <w:rPr>
          <w:rFonts w:ascii="Times New Roman" w:hAnsi="Times New Roman"/>
          <w:color w:val="000000"/>
        </w:rPr>
        <w:t xml:space="preserve">integrating one’s own ideas with those of sources; </w:t>
      </w:r>
      <w:r w:rsidR="00637759">
        <w:rPr>
          <w:rFonts w:ascii="Times New Roman" w:hAnsi="Times New Roman"/>
          <w:color w:val="000000"/>
        </w:rPr>
        <w:t xml:space="preserve">#3 </w:t>
      </w:r>
      <w:r w:rsidR="005C107A">
        <w:rPr>
          <w:rFonts w:ascii="Times New Roman" w:hAnsi="Times New Roman"/>
          <w:color w:val="000000"/>
        </w:rPr>
        <w:t xml:space="preserve">using academic documentation styles appropriately; </w:t>
      </w:r>
      <w:r w:rsidR="00637759">
        <w:rPr>
          <w:rFonts w:ascii="Times New Roman" w:hAnsi="Times New Roman"/>
          <w:color w:val="000000"/>
        </w:rPr>
        <w:t xml:space="preserve">#4 </w:t>
      </w:r>
      <w:r w:rsidR="005C107A">
        <w:rPr>
          <w:rFonts w:ascii="Times New Roman" w:hAnsi="Times New Roman"/>
          <w:color w:val="000000"/>
        </w:rPr>
        <w:t>controlling surface features (syntax, grammar, punctuation, spelling).  These learning outcomes were selected for their ease of measurability</w:t>
      </w:r>
      <w:r w:rsidR="00D51B1D">
        <w:rPr>
          <w:rFonts w:ascii="Times New Roman" w:hAnsi="Times New Roman"/>
          <w:color w:val="000000"/>
        </w:rPr>
        <w:t xml:space="preserve">.  </w:t>
      </w:r>
      <w:r w:rsidR="005E244E">
        <w:rPr>
          <w:rFonts w:ascii="Times New Roman" w:hAnsi="Times New Roman"/>
          <w:color w:val="000000"/>
        </w:rPr>
        <w:t xml:space="preserve">The essays were from a range of assignments, and from a range of different instructors, and they represented a range of performance/grades.  </w:t>
      </w:r>
      <w:r w:rsidR="00D51B1D">
        <w:rPr>
          <w:rFonts w:ascii="Times New Roman" w:hAnsi="Times New Roman"/>
          <w:color w:val="000000"/>
        </w:rPr>
        <w:t xml:space="preserve">In addition, with the essays from Sp13, a number of other learning outcomes were also assessed, in order to help us more fully gauge the success of the course in helping students achieve the course’s outcomes; however, since we had not included these other </w:t>
      </w:r>
      <w:r w:rsidR="00427EF2">
        <w:rPr>
          <w:rFonts w:ascii="Times New Roman" w:hAnsi="Times New Roman"/>
          <w:color w:val="000000"/>
        </w:rPr>
        <w:t>outcomes in evaluation of the F</w:t>
      </w:r>
      <w:r w:rsidR="00D51B1D">
        <w:rPr>
          <w:rFonts w:ascii="Times New Roman" w:hAnsi="Times New Roman"/>
          <w:color w:val="000000"/>
        </w:rPr>
        <w:t>11 essays, results regarding these other outcomes do not appear here although they are noted later in the report.</w:t>
      </w:r>
    </w:p>
    <w:p w:rsidR="00B37340" w:rsidRPr="00477B8C" w:rsidRDefault="00B37340" w:rsidP="00F04008">
      <w:pPr>
        <w:rPr>
          <w:rFonts w:ascii="Times New Roman" w:hAnsi="Times New Roman"/>
          <w:sz w:val="16"/>
        </w:rPr>
      </w:pPr>
    </w:p>
    <w:p w:rsidR="00B37340" w:rsidRDefault="00F04008" w:rsidP="009D5CB1">
      <w:pPr>
        <w:ind w:left="1440"/>
        <w:rPr>
          <w:rFonts w:ascii="Times New Roman" w:hAnsi="Times New Roman"/>
        </w:rPr>
      </w:pPr>
      <w:r>
        <w:rPr>
          <w:rFonts w:ascii="Times New Roman" w:hAnsi="Times New Roman"/>
        </w:rPr>
        <w:t>P</w:t>
      </w:r>
      <w:r w:rsidR="009D5CB1">
        <w:rPr>
          <w:rFonts w:ascii="Times New Roman" w:hAnsi="Times New Roman"/>
        </w:rPr>
        <w:t>erformance</w:t>
      </w:r>
      <w:r w:rsidR="00B37340">
        <w:rPr>
          <w:rFonts w:ascii="Times New Roman" w:hAnsi="Times New Roman"/>
        </w:rPr>
        <w:t xml:space="preserve"> increased across </w:t>
      </w:r>
      <w:r>
        <w:rPr>
          <w:rFonts w:ascii="Times New Roman" w:hAnsi="Times New Roman"/>
        </w:rPr>
        <w:t>all</w:t>
      </w:r>
      <w:r w:rsidR="00B37340">
        <w:rPr>
          <w:rFonts w:ascii="Times New Roman" w:hAnsi="Times New Roman"/>
        </w:rPr>
        <w:t xml:space="preserve"> four learning ou</w:t>
      </w:r>
      <w:r>
        <w:rPr>
          <w:rFonts w:ascii="Times New Roman" w:hAnsi="Times New Roman"/>
        </w:rPr>
        <w:t>tcomes in the redesigned course</w:t>
      </w:r>
      <w:r w:rsidR="00B37340">
        <w:rPr>
          <w:rFonts w:ascii="Times New Roman" w:hAnsi="Times New Roman"/>
        </w:rPr>
        <w:t xml:space="preserve">, </w:t>
      </w:r>
      <w:r>
        <w:rPr>
          <w:rFonts w:ascii="Times New Roman" w:hAnsi="Times New Roman"/>
        </w:rPr>
        <w:t>indicating</w:t>
      </w:r>
      <w:r w:rsidR="00B37340">
        <w:rPr>
          <w:rFonts w:ascii="Times New Roman" w:hAnsi="Times New Roman"/>
        </w:rPr>
        <w:t xml:space="preserve"> notable improvement in student learning.</w:t>
      </w:r>
      <w:r w:rsidR="00A75CC7">
        <w:rPr>
          <w:rFonts w:ascii="Times New Roman" w:hAnsi="Times New Roman"/>
        </w:rPr>
        <w:t xml:space="preserve">  </w:t>
      </w:r>
    </w:p>
    <w:p w:rsidR="00B37340" w:rsidRPr="00477B8C" w:rsidRDefault="00B37340" w:rsidP="009D5CB1">
      <w:pPr>
        <w:ind w:left="1440"/>
        <w:rPr>
          <w:rFonts w:ascii="Times New Roman" w:hAnsi="Times New Roman"/>
          <w:sz w:val="16"/>
        </w:rPr>
      </w:pPr>
    </w:p>
    <w:p w:rsidR="00427EF2" w:rsidRDefault="00B37340" w:rsidP="009D5CB1">
      <w:pPr>
        <w:ind w:left="1440"/>
        <w:rPr>
          <w:rFonts w:ascii="Times New Roman" w:hAnsi="Times New Roman"/>
        </w:rPr>
      </w:pPr>
      <w:r>
        <w:rPr>
          <w:rFonts w:ascii="Times New Roman" w:hAnsi="Times New Roman"/>
        </w:rPr>
        <w:t xml:space="preserve">See the attached appendix, with </w:t>
      </w:r>
      <w:r w:rsidR="002F436E">
        <w:rPr>
          <w:rFonts w:ascii="Times New Roman" w:hAnsi="Times New Roman"/>
        </w:rPr>
        <w:t>Full Implementation Assessment Form and Full Implementation Plan form.</w:t>
      </w:r>
    </w:p>
    <w:p w:rsidR="005E244E" w:rsidRPr="00477B8C" w:rsidRDefault="005E244E" w:rsidP="009D5CB1">
      <w:pPr>
        <w:ind w:left="1440"/>
        <w:rPr>
          <w:rFonts w:ascii="Times New Roman" w:hAnsi="Times New Roman"/>
          <w:sz w:val="16"/>
        </w:rPr>
      </w:pPr>
    </w:p>
    <w:p w:rsidR="00A635ED" w:rsidRDefault="00427EF2" w:rsidP="00427EF2">
      <w:pPr>
        <w:pStyle w:val="ListParagraph"/>
        <w:numPr>
          <w:ilvl w:val="1"/>
          <w:numId w:val="1"/>
        </w:numPr>
        <w:rPr>
          <w:rFonts w:ascii="Times New Roman" w:hAnsi="Times New Roman"/>
        </w:rPr>
      </w:pPr>
      <w:r>
        <w:rPr>
          <w:rFonts w:ascii="Times New Roman" w:hAnsi="Times New Roman"/>
        </w:rPr>
        <w:t>Improved Retention</w:t>
      </w:r>
    </w:p>
    <w:p w:rsidR="00A635ED" w:rsidRPr="00477B8C" w:rsidRDefault="00A635ED" w:rsidP="00A635ED">
      <w:pPr>
        <w:pStyle w:val="ListParagraph"/>
        <w:ind w:left="1440"/>
        <w:rPr>
          <w:rFonts w:ascii="Times New Roman" w:hAnsi="Times New Roman"/>
          <w:sz w:val="16"/>
        </w:rPr>
      </w:pPr>
    </w:p>
    <w:p w:rsidR="00A92084" w:rsidRDefault="00E520E7" w:rsidP="00A635ED">
      <w:pPr>
        <w:ind w:left="1440"/>
        <w:rPr>
          <w:rFonts w:ascii="Times New Roman" w:hAnsi="Times New Roman"/>
        </w:rPr>
      </w:pPr>
      <w:r>
        <w:rPr>
          <w:rFonts w:ascii="Times New Roman" w:hAnsi="Times New Roman"/>
        </w:rPr>
        <w:t>After one semester of full implementation, we see no significant change in grade results.  As seen below, our redesigned course in Sp13, compared to the previous five years, had a slight decrease in As (31% instead of 34%) and a slight increase in Bs (38% instead of 36%), and all other grade results are unchanged.  We are satisfied with these results, since we have had the new model in place for only one semester</w:t>
      </w:r>
      <w:r w:rsidR="00A92084">
        <w:rPr>
          <w:rFonts w:ascii="Times New Roman" w:hAnsi="Times New Roman"/>
        </w:rPr>
        <w:t>.  We will continue to monitor grade results in future semesters.</w:t>
      </w:r>
    </w:p>
    <w:p w:rsidR="00A92084" w:rsidRPr="00477B8C" w:rsidRDefault="00A92084" w:rsidP="00A635ED">
      <w:pPr>
        <w:ind w:left="1440"/>
        <w:rPr>
          <w:rFonts w:asciiTheme="majorHAnsi" w:hAnsiTheme="majorHAnsi"/>
          <w:sz w:val="16"/>
        </w:rPr>
      </w:pPr>
    </w:p>
    <w:p w:rsidR="00A92084" w:rsidRPr="00A92084" w:rsidRDefault="00A92084" w:rsidP="00A92084">
      <w:pPr>
        <w:rPr>
          <w:rFonts w:asciiTheme="majorHAnsi" w:hAnsiTheme="majorHAnsi"/>
          <w:sz w:val="20"/>
          <w:szCs w:val="20"/>
        </w:rPr>
      </w:pPr>
      <w:r w:rsidRPr="00A92084">
        <w:rPr>
          <w:rFonts w:asciiTheme="majorHAnsi" w:hAnsiTheme="majorHAnsi"/>
          <w:b/>
          <w:sz w:val="20"/>
          <w:szCs w:val="20"/>
        </w:rPr>
        <w:t>1. Comparison of Sp13 grade results with results from individual semesters x5 years:</w:t>
      </w:r>
    </w:p>
    <w:tbl>
      <w:tblPr>
        <w:tblStyle w:val="TableGrid"/>
        <w:tblW w:w="0" w:type="auto"/>
        <w:tblLook w:val="04A0"/>
      </w:tblPr>
      <w:tblGrid>
        <w:gridCol w:w="2141"/>
        <w:gridCol w:w="1093"/>
        <w:gridCol w:w="919"/>
        <w:gridCol w:w="843"/>
        <w:gridCol w:w="790"/>
        <w:gridCol w:w="894"/>
        <w:gridCol w:w="995"/>
        <w:gridCol w:w="1181"/>
      </w:tblGrid>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English 100/100A Combined Grades</w:t>
            </w:r>
          </w:p>
        </w:tc>
        <w:tc>
          <w:tcPr>
            <w:tcW w:w="117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A</w:t>
            </w:r>
          </w:p>
        </w:tc>
        <w:tc>
          <w:tcPr>
            <w:tcW w:w="99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B</w:t>
            </w:r>
          </w:p>
        </w:tc>
        <w:tc>
          <w:tcPr>
            <w:tcW w:w="90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C</w:t>
            </w:r>
          </w:p>
        </w:tc>
        <w:tc>
          <w:tcPr>
            <w:tcW w:w="826"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D</w:t>
            </w:r>
          </w:p>
        </w:tc>
        <w:tc>
          <w:tcPr>
            <w:tcW w:w="951"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F</w:t>
            </w:r>
          </w:p>
        </w:tc>
        <w:tc>
          <w:tcPr>
            <w:tcW w:w="1103"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W</w:t>
            </w:r>
          </w:p>
        </w:tc>
        <w:tc>
          <w:tcPr>
            <w:tcW w:w="127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Other</w:t>
            </w:r>
          </w:p>
        </w:tc>
      </w:tr>
      <w:tr w:rsidR="00A92084" w:rsidRPr="00A92084">
        <w:tc>
          <w:tcPr>
            <w:tcW w:w="2358" w:type="dxa"/>
          </w:tcPr>
          <w:p w:rsidR="00A92084" w:rsidRPr="00A92084" w:rsidRDefault="00A92084" w:rsidP="00A92084">
            <w:pPr>
              <w:jc w:val="center"/>
              <w:rPr>
                <w:rFonts w:asciiTheme="majorHAnsi" w:hAnsiTheme="majorHAnsi"/>
                <w:b/>
                <w:sz w:val="20"/>
                <w:szCs w:val="20"/>
              </w:rPr>
            </w:pPr>
          </w:p>
        </w:tc>
        <w:tc>
          <w:tcPr>
            <w:tcW w:w="1170" w:type="dxa"/>
          </w:tcPr>
          <w:p w:rsidR="00A92084" w:rsidRPr="00A92084" w:rsidRDefault="00A92084" w:rsidP="00A92084">
            <w:pPr>
              <w:jc w:val="center"/>
              <w:rPr>
                <w:rFonts w:asciiTheme="majorHAnsi" w:hAnsiTheme="majorHAnsi"/>
                <w:sz w:val="20"/>
                <w:szCs w:val="20"/>
              </w:rPr>
            </w:pPr>
          </w:p>
        </w:tc>
        <w:tc>
          <w:tcPr>
            <w:tcW w:w="990" w:type="dxa"/>
          </w:tcPr>
          <w:p w:rsidR="00A92084" w:rsidRPr="00A92084" w:rsidRDefault="00A92084" w:rsidP="00A92084">
            <w:pPr>
              <w:jc w:val="center"/>
              <w:rPr>
                <w:rFonts w:asciiTheme="majorHAnsi" w:hAnsiTheme="majorHAnsi"/>
                <w:sz w:val="20"/>
                <w:szCs w:val="20"/>
              </w:rPr>
            </w:pPr>
          </w:p>
        </w:tc>
        <w:tc>
          <w:tcPr>
            <w:tcW w:w="900" w:type="dxa"/>
          </w:tcPr>
          <w:p w:rsidR="00A92084" w:rsidRPr="00A92084" w:rsidRDefault="00A92084" w:rsidP="00A92084">
            <w:pPr>
              <w:jc w:val="center"/>
              <w:rPr>
                <w:rFonts w:asciiTheme="majorHAnsi" w:hAnsiTheme="majorHAnsi"/>
                <w:sz w:val="20"/>
                <w:szCs w:val="20"/>
              </w:rPr>
            </w:pPr>
          </w:p>
        </w:tc>
        <w:tc>
          <w:tcPr>
            <w:tcW w:w="826" w:type="dxa"/>
          </w:tcPr>
          <w:p w:rsidR="00A92084" w:rsidRPr="00A92084" w:rsidRDefault="00A92084" w:rsidP="00A92084">
            <w:pPr>
              <w:jc w:val="center"/>
              <w:rPr>
                <w:rFonts w:asciiTheme="majorHAnsi" w:hAnsiTheme="majorHAnsi"/>
                <w:sz w:val="20"/>
                <w:szCs w:val="20"/>
              </w:rPr>
            </w:pPr>
          </w:p>
        </w:tc>
        <w:tc>
          <w:tcPr>
            <w:tcW w:w="951" w:type="dxa"/>
          </w:tcPr>
          <w:p w:rsidR="00A92084" w:rsidRPr="00A92084" w:rsidRDefault="00A92084" w:rsidP="00A92084">
            <w:pPr>
              <w:jc w:val="center"/>
              <w:rPr>
                <w:rFonts w:asciiTheme="majorHAnsi" w:hAnsiTheme="majorHAnsi"/>
                <w:sz w:val="20"/>
                <w:szCs w:val="20"/>
              </w:rPr>
            </w:pPr>
          </w:p>
        </w:tc>
        <w:tc>
          <w:tcPr>
            <w:tcW w:w="1103" w:type="dxa"/>
          </w:tcPr>
          <w:p w:rsidR="00A92084" w:rsidRPr="00A92084" w:rsidRDefault="00A92084" w:rsidP="00A92084">
            <w:pPr>
              <w:jc w:val="center"/>
              <w:rPr>
                <w:rFonts w:asciiTheme="majorHAnsi" w:hAnsiTheme="majorHAnsi"/>
                <w:sz w:val="20"/>
                <w:szCs w:val="20"/>
              </w:rPr>
            </w:pPr>
          </w:p>
        </w:tc>
        <w:tc>
          <w:tcPr>
            <w:tcW w:w="1278" w:type="dxa"/>
          </w:tcPr>
          <w:p w:rsidR="00A92084" w:rsidRPr="00A92084" w:rsidRDefault="00A92084" w:rsidP="00A92084">
            <w:pPr>
              <w:jc w:val="center"/>
              <w:rPr>
                <w:rFonts w:asciiTheme="majorHAnsi" w:hAnsiTheme="majorHAnsi"/>
                <w:sz w:val="20"/>
                <w:szCs w:val="20"/>
              </w:rPr>
            </w:pPr>
          </w:p>
        </w:tc>
      </w:tr>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Spring 2013</w:t>
            </w:r>
          </w:p>
        </w:tc>
        <w:tc>
          <w:tcPr>
            <w:tcW w:w="117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31%</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38%</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16%</w:t>
            </w:r>
          </w:p>
        </w:tc>
        <w:tc>
          <w:tcPr>
            <w:tcW w:w="826"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w:t>
            </w:r>
          </w:p>
        </w:tc>
        <w:tc>
          <w:tcPr>
            <w:tcW w:w="951"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7%</w:t>
            </w:r>
          </w:p>
        </w:tc>
        <w:tc>
          <w:tcPr>
            <w:tcW w:w="1103"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w:t>
            </w:r>
          </w:p>
        </w:tc>
        <w:tc>
          <w:tcPr>
            <w:tcW w:w="1278"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w:t>
            </w:r>
          </w:p>
        </w:tc>
      </w:tr>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Fall 2012* (excludes pilot sections)</w:t>
            </w:r>
          </w:p>
        </w:tc>
        <w:tc>
          <w:tcPr>
            <w:tcW w:w="117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38%</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36%</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16%</w:t>
            </w:r>
          </w:p>
        </w:tc>
        <w:tc>
          <w:tcPr>
            <w:tcW w:w="826"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2%</w:t>
            </w:r>
          </w:p>
        </w:tc>
        <w:tc>
          <w:tcPr>
            <w:tcW w:w="951"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6%</w:t>
            </w:r>
          </w:p>
        </w:tc>
        <w:tc>
          <w:tcPr>
            <w:tcW w:w="1103"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2%</w:t>
            </w:r>
          </w:p>
        </w:tc>
        <w:tc>
          <w:tcPr>
            <w:tcW w:w="1278"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0%</w:t>
            </w:r>
          </w:p>
        </w:tc>
      </w:tr>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Spring 2012</w:t>
            </w:r>
          </w:p>
        </w:tc>
        <w:tc>
          <w:tcPr>
            <w:tcW w:w="117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34%</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34%</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15%</w:t>
            </w:r>
          </w:p>
        </w:tc>
        <w:tc>
          <w:tcPr>
            <w:tcW w:w="826"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2%</w:t>
            </w:r>
          </w:p>
        </w:tc>
        <w:tc>
          <w:tcPr>
            <w:tcW w:w="951"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8%</w:t>
            </w:r>
          </w:p>
        </w:tc>
        <w:tc>
          <w:tcPr>
            <w:tcW w:w="1103"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7%</w:t>
            </w:r>
          </w:p>
        </w:tc>
        <w:tc>
          <w:tcPr>
            <w:tcW w:w="1278"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0%</w:t>
            </w:r>
          </w:p>
        </w:tc>
      </w:tr>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Fall 2011</w:t>
            </w:r>
          </w:p>
        </w:tc>
        <w:tc>
          <w:tcPr>
            <w:tcW w:w="117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33%</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37%</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16%</w:t>
            </w:r>
          </w:p>
        </w:tc>
        <w:tc>
          <w:tcPr>
            <w:tcW w:w="826"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w:t>
            </w:r>
          </w:p>
        </w:tc>
        <w:tc>
          <w:tcPr>
            <w:tcW w:w="951"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6%</w:t>
            </w:r>
          </w:p>
        </w:tc>
        <w:tc>
          <w:tcPr>
            <w:tcW w:w="1103"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w:t>
            </w:r>
          </w:p>
        </w:tc>
        <w:tc>
          <w:tcPr>
            <w:tcW w:w="1278"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0%</w:t>
            </w:r>
          </w:p>
        </w:tc>
      </w:tr>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Spring 2011</w:t>
            </w:r>
          </w:p>
        </w:tc>
        <w:tc>
          <w:tcPr>
            <w:tcW w:w="117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41%</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32%</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13%</w:t>
            </w:r>
          </w:p>
        </w:tc>
        <w:tc>
          <w:tcPr>
            <w:tcW w:w="826"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w:t>
            </w:r>
          </w:p>
        </w:tc>
        <w:tc>
          <w:tcPr>
            <w:tcW w:w="951"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5%</w:t>
            </w:r>
          </w:p>
        </w:tc>
        <w:tc>
          <w:tcPr>
            <w:tcW w:w="1103"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5%</w:t>
            </w:r>
          </w:p>
        </w:tc>
        <w:tc>
          <w:tcPr>
            <w:tcW w:w="1278"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0%</w:t>
            </w:r>
          </w:p>
        </w:tc>
      </w:tr>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Fall 2010</w:t>
            </w:r>
          </w:p>
        </w:tc>
        <w:tc>
          <w:tcPr>
            <w:tcW w:w="117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34.5%</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36%</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17%</w:t>
            </w:r>
          </w:p>
        </w:tc>
        <w:tc>
          <w:tcPr>
            <w:tcW w:w="826"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3.5%</w:t>
            </w:r>
          </w:p>
        </w:tc>
        <w:tc>
          <w:tcPr>
            <w:tcW w:w="951"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6%</w:t>
            </w:r>
          </w:p>
        </w:tc>
        <w:tc>
          <w:tcPr>
            <w:tcW w:w="1103"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w:t>
            </w:r>
          </w:p>
        </w:tc>
        <w:tc>
          <w:tcPr>
            <w:tcW w:w="1278"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0%</w:t>
            </w:r>
          </w:p>
        </w:tc>
      </w:tr>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Spring 2010</w:t>
            </w:r>
          </w:p>
        </w:tc>
        <w:tc>
          <w:tcPr>
            <w:tcW w:w="117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27.5%</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39%</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17%</w:t>
            </w:r>
          </w:p>
        </w:tc>
        <w:tc>
          <w:tcPr>
            <w:tcW w:w="826"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5%</w:t>
            </w:r>
          </w:p>
        </w:tc>
        <w:tc>
          <w:tcPr>
            <w:tcW w:w="951"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7.5%</w:t>
            </w:r>
          </w:p>
        </w:tc>
        <w:tc>
          <w:tcPr>
            <w:tcW w:w="1103"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w:t>
            </w:r>
          </w:p>
        </w:tc>
        <w:tc>
          <w:tcPr>
            <w:tcW w:w="1278"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0%</w:t>
            </w:r>
          </w:p>
        </w:tc>
      </w:tr>
      <w:tr w:rsidR="00A92084" w:rsidRPr="00A92084">
        <w:tc>
          <w:tcPr>
            <w:tcW w:w="235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Fall 2009</w:t>
            </w:r>
          </w:p>
        </w:tc>
        <w:tc>
          <w:tcPr>
            <w:tcW w:w="117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28%</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38.5 %</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16%</w:t>
            </w:r>
          </w:p>
        </w:tc>
        <w:tc>
          <w:tcPr>
            <w:tcW w:w="826"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4.5%</w:t>
            </w:r>
          </w:p>
        </w:tc>
        <w:tc>
          <w:tcPr>
            <w:tcW w:w="951"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9%</w:t>
            </w:r>
          </w:p>
        </w:tc>
        <w:tc>
          <w:tcPr>
            <w:tcW w:w="1103"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w:t>
            </w:r>
          </w:p>
        </w:tc>
        <w:tc>
          <w:tcPr>
            <w:tcW w:w="1278"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0%</w:t>
            </w:r>
          </w:p>
        </w:tc>
      </w:tr>
    </w:tbl>
    <w:p w:rsidR="00A92084" w:rsidRPr="00477B8C" w:rsidRDefault="00A92084" w:rsidP="00A92084">
      <w:pPr>
        <w:rPr>
          <w:rFonts w:asciiTheme="majorHAnsi" w:hAnsiTheme="majorHAnsi"/>
          <w:sz w:val="16"/>
          <w:szCs w:val="20"/>
        </w:rPr>
      </w:pPr>
    </w:p>
    <w:p w:rsidR="00A92084" w:rsidRPr="00A92084" w:rsidRDefault="00A92084" w:rsidP="00A92084">
      <w:pPr>
        <w:rPr>
          <w:rFonts w:asciiTheme="majorHAnsi" w:hAnsiTheme="majorHAnsi"/>
          <w:sz w:val="20"/>
          <w:szCs w:val="20"/>
        </w:rPr>
      </w:pPr>
      <w:r w:rsidRPr="00A92084">
        <w:rPr>
          <w:rFonts w:asciiTheme="majorHAnsi" w:hAnsiTheme="majorHAnsi"/>
          <w:b/>
          <w:sz w:val="20"/>
          <w:szCs w:val="20"/>
        </w:rPr>
        <w:t>2. Comparison of Sp13 grade results with aggregate results x5 years:</w:t>
      </w:r>
    </w:p>
    <w:tbl>
      <w:tblPr>
        <w:tblStyle w:val="TableGrid"/>
        <w:tblW w:w="0" w:type="auto"/>
        <w:tblLayout w:type="fixed"/>
        <w:tblLook w:val="04A0"/>
      </w:tblPr>
      <w:tblGrid>
        <w:gridCol w:w="2448"/>
        <w:gridCol w:w="1080"/>
        <w:gridCol w:w="990"/>
        <w:gridCol w:w="900"/>
        <w:gridCol w:w="900"/>
        <w:gridCol w:w="900"/>
        <w:gridCol w:w="1080"/>
        <w:gridCol w:w="1260"/>
      </w:tblGrid>
      <w:tr w:rsidR="00A92084" w:rsidRPr="00A92084">
        <w:trPr>
          <w:trHeight w:val="255"/>
        </w:trPr>
        <w:tc>
          <w:tcPr>
            <w:tcW w:w="2448" w:type="dxa"/>
          </w:tcPr>
          <w:p w:rsidR="00A92084" w:rsidRPr="00A92084" w:rsidRDefault="00A92084" w:rsidP="00A92084">
            <w:pPr>
              <w:jc w:val="center"/>
              <w:rPr>
                <w:rFonts w:asciiTheme="majorHAnsi" w:hAnsiTheme="majorHAnsi"/>
                <w:sz w:val="20"/>
                <w:szCs w:val="20"/>
              </w:rPr>
            </w:pPr>
          </w:p>
        </w:tc>
        <w:tc>
          <w:tcPr>
            <w:tcW w:w="108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A</w:t>
            </w:r>
          </w:p>
        </w:tc>
        <w:tc>
          <w:tcPr>
            <w:tcW w:w="99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B</w:t>
            </w:r>
          </w:p>
        </w:tc>
        <w:tc>
          <w:tcPr>
            <w:tcW w:w="90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C</w:t>
            </w:r>
          </w:p>
        </w:tc>
        <w:tc>
          <w:tcPr>
            <w:tcW w:w="90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D</w:t>
            </w:r>
          </w:p>
        </w:tc>
        <w:tc>
          <w:tcPr>
            <w:tcW w:w="90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F</w:t>
            </w:r>
          </w:p>
        </w:tc>
        <w:tc>
          <w:tcPr>
            <w:tcW w:w="108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W</w:t>
            </w:r>
          </w:p>
        </w:tc>
        <w:tc>
          <w:tcPr>
            <w:tcW w:w="1260"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Other</w:t>
            </w:r>
          </w:p>
        </w:tc>
      </w:tr>
      <w:tr w:rsidR="00A92084" w:rsidRPr="00A92084">
        <w:trPr>
          <w:trHeight w:val="269"/>
        </w:trPr>
        <w:tc>
          <w:tcPr>
            <w:tcW w:w="244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Spring Grades 2013</w:t>
            </w:r>
          </w:p>
        </w:tc>
        <w:tc>
          <w:tcPr>
            <w:tcW w:w="108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31%</w:t>
            </w:r>
          </w:p>
        </w:tc>
        <w:tc>
          <w:tcPr>
            <w:tcW w:w="99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38%</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16%</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w:t>
            </w:r>
          </w:p>
        </w:tc>
        <w:tc>
          <w:tcPr>
            <w:tcW w:w="90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7%</w:t>
            </w:r>
          </w:p>
        </w:tc>
        <w:tc>
          <w:tcPr>
            <w:tcW w:w="108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w:t>
            </w:r>
          </w:p>
        </w:tc>
        <w:tc>
          <w:tcPr>
            <w:tcW w:w="1260" w:type="dxa"/>
          </w:tcPr>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w:t>
            </w:r>
          </w:p>
        </w:tc>
      </w:tr>
      <w:tr w:rsidR="00A92084" w:rsidRPr="00A92084">
        <w:trPr>
          <w:trHeight w:val="794"/>
        </w:trPr>
        <w:tc>
          <w:tcPr>
            <w:tcW w:w="2448" w:type="dxa"/>
          </w:tcPr>
          <w:p w:rsidR="00A92084" w:rsidRPr="00A92084" w:rsidRDefault="00A92084" w:rsidP="00A92084">
            <w:pPr>
              <w:jc w:val="center"/>
              <w:rPr>
                <w:rFonts w:asciiTheme="majorHAnsi" w:hAnsiTheme="majorHAnsi"/>
                <w:b/>
                <w:sz w:val="20"/>
                <w:szCs w:val="20"/>
              </w:rPr>
            </w:pPr>
            <w:r w:rsidRPr="00A92084">
              <w:rPr>
                <w:rFonts w:asciiTheme="majorHAnsi" w:hAnsiTheme="majorHAnsi"/>
                <w:b/>
                <w:sz w:val="20"/>
                <w:szCs w:val="20"/>
              </w:rPr>
              <w:t>Average 100/100A Combined Grades Fall 2009-Fall 2012</w:t>
            </w:r>
          </w:p>
        </w:tc>
        <w:tc>
          <w:tcPr>
            <w:tcW w:w="1080" w:type="dxa"/>
          </w:tcPr>
          <w:p w:rsidR="00A92084" w:rsidRPr="00A92084" w:rsidRDefault="00A92084" w:rsidP="00A92084">
            <w:pPr>
              <w:jc w:val="center"/>
              <w:rPr>
                <w:rFonts w:asciiTheme="majorHAnsi" w:hAnsiTheme="majorHAnsi"/>
                <w:sz w:val="20"/>
                <w:szCs w:val="20"/>
              </w:rPr>
            </w:pPr>
          </w:p>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34%</w:t>
            </w:r>
          </w:p>
        </w:tc>
        <w:tc>
          <w:tcPr>
            <w:tcW w:w="990" w:type="dxa"/>
          </w:tcPr>
          <w:p w:rsidR="00A92084" w:rsidRPr="00A92084" w:rsidRDefault="00A92084" w:rsidP="00A92084">
            <w:pPr>
              <w:jc w:val="center"/>
              <w:rPr>
                <w:rFonts w:asciiTheme="majorHAnsi" w:hAnsiTheme="majorHAnsi"/>
                <w:sz w:val="20"/>
                <w:szCs w:val="20"/>
              </w:rPr>
            </w:pPr>
          </w:p>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36%</w:t>
            </w:r>
          </w:p>
        </w:tc>
        <w:tc>
          <w:tcPr>
            <w:tcW w:w="900" w:type="dxa"/>
          </w:tcPr>
          <w:p w:rsidR="00A92084" w:rsidRPr="00A92084" w:rsidRDefault="00A92084" w:rsidP="00A92084">
            <w:pPr>
              <w:jc w:val="center"/>
              <w:rPr>
                <w:rFonts w:asciiTheme="majorHAnsi" w:hAnsiTheme="majorHAnsi"/>
                <w:sz w:val="20"/>
                <w:szCs w:val="20"/>
              </w:rPr>
            </w:pPr>
          </w:p>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16%</w:t>
            </w:r>
          </w:p>
        </w:tc>
        <w:tc>
          <w:tcPr>
            <w:tcW w:w="900" w:type="dxa"/>
          </w:tcPr>
          <w:p w:rsidR="00A92084" w:rsidRPr="00A92084" w:rsidRDefault="00A92084" w:rsidP="00A92084">
            <w:pPr>
              <w:jc w:val="center"/>
              <w:rPr>
                <w:rFonts w:asciiTheme="majorHAnsi" w:hAnsiTheme="majorHAnsi"/>
                <w:sz w:val="20"/>
                <w:szCs w:val="20"/>
              </w:rPr>
            </w:pPr>
          </w:p>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3%</w:t>
            </w:r>
          </w:p>
        </w:tc>
        <w:tc>
          <w:tcPr>
            <w:tcW w:w="900" w:type="dxa"/>
          </w:tcPr>
          <w:p w:rsidR="00A92084" w:rsidRPr="00A92084" w:rsidRDefault="00A92084" w:rsidP="00A92084">
            <w:pPr>
              <w:jc w:val="center"/>
              <w:rPr>
                <w:rFonts w:asciiTheme="majorHAnsi" w:hAnsiTheme="majorHAnsi"/>
                <w:sz w:val="20"/>
                <w:szCs w:val="20"/>
              </w:rPr>
            </w:pPr>
          </w:p>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7%</w:t>
            </w:r>
          </w:p>
        </w:tc>
        <w:tc>
          <w:tcPr>
            <w:tcW w:w="1080" w:type="dxa"/>
          </w:tcPr>
          <w:p w:rsidR="00A92084" w:rsidRPr="00A92084" w:rsidRDefault="00A92084" w:rsidP="00A92084">
            <w:pPr>
              <w:jc w:val="center"/>
              <w:rPr>
                <w:rFonts w:asciiTheme="majorHAnsi" w:hAnsiTheme="majorHAnsi"/>
                <w:sz w:val="20"/>
                <w:szCs w:val="20"/>
              </w:rPr>
            </w:pPr>
          </w:p>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4%</w:t>
            </w:r>
          </w:p>
        </w:tc>
        <w:tc>
          <w:tcPr>
            <w:tcW w:w="1260" w:type="dxa"/>
          </w:tcPr>
          <w:p w:rsidR="00A92084" w:rsidRPr="00A92084" w:rsidRDefault="00A92084" w:rsidP="00A92084">
            <w:pPr>
              <w:jc w:val="center"/>
              <w:rPr>
                <w:rFonts w:asciiTheme="majorHAnsi" w:hAnsiTheme="majorHAnsi"/>
                <w:sz w:val="20"/>
                <w:szCs w:val="20"/>
              </w:rPr>
            </w:pPr>
          </w:p>
          <w:p w:rsidR="00A92084" w:rsidRPr="00A92084" w:rsidRDefault="00A92084" w:rsidP="00A92084">
            <w:pPr>
              <w:jc w:val="center"/>
              <w:rPr>
                <w:rFonts w:asciiTheme="majorHAnsi" w:hAnsiTheme="majorHAnsi"/>
                <w:sz w:val="20"/>
                <w:szCs w:val="20"/>
              </w:rPr>
            </w:pPr>
            <w:r w:rsidRPr="00A92084">
              <w:rPr>
                <w:rFonts w:asciiTheme="majorHAnsi" w:hAnsiTheme="majorHAnsi"/>
                <w:sz w:val="20"/>
                <w:szCs w:val="20"/>
              </w:rPr>
              <w:t>0%</w:t>
            </w:r>
          </w:p>
        </w:tc>
      </w:tr>
    </w:tbl>
    <w:p w:rsidR="00E520E7" w:rsidRPr="00477B8C" w:rsidRDefault="00E520E7" w:rsidP="00A92084">
      <w:pPr>
        <w:rPr>
          <w:rFonts w:ascii="Times New Roman" w:hAnsi="Times New Roman"/>
          <w:sz w:val="16"/>
        </w:rPr>
      </w:pPr>
    </w:p>
    <w:p w:rsidR="00E25BB8" w:rsidRDefault="00A635ED" w:rsidP="00A635ED">
      <w:pPr>
        <w:ind w:left="1440"/>
        <w:rPr>
          <w:rFonts w:ascii="Times New Roman" w:hAnsi="Times New Roman"/>
        </w:rPr>
      </w:pPr>
      <w:r>
        <w:rPr>
          <w:rFonts w:ascii="Times New Roman" w:hAnsi="Times New Roman"/>
        </w:rPr>
        <w:t>See the attached appendix, with Full Implementation Course Completion/Retention form.</w:t>
      </w:r>
    </w:p>
    <w:p w:rsidR="00E25BB8" w:rsidRPr="00477B8C" w:rsidRDefault="00E25BB8" w:rsidP="00A635ED">
      <w:pPr>
        <w:ind w:left="1440"/>
        <w:rPr>
          <w:rFonts w:ascii="Times New Roman" w:hAnsi="Times New Roman"/>
          <w:sz w:val="16"/>
        </w:rPr>
      </w:pPr>
    </w:p>
    <w:p w:rsidR="00F74330" w:rsidRDefault="00E25BB8" w:rsidP="00E25BB8">
      <w:pPr>
        <w:pStyle w:val="ListParagraph"/>
        <w:numPr>
          <w:ilvl w:val="1"/>
          <w:numId w:val="1"/>
        </w:numPr>
        <w:rPr>
          <w:rFonts w:ascii="Times New Roman" w:hAnsi="Times New Roman"/>
        </w:rPr>
      </w:pPr>
      <w:r>
        <w:rPr>
          <w:rFonts w:ascii="Times New Roman" w:hAnsi="Times New Roman"/>
        </w:rPr>
        <w:t>Other Impacts on Students</w:t>
      </w:r>
    </w:p>
    <w:p w:rsidR="00F74330" w:rsidRPr="00477B8C" w:rsidRDefault="00F74330" w:rsidP="00F74330">
      <w:pPr>
        <w:pStyle w:val="ListParagraph"/>
        <w:ind w:left="1440"/>
        <w:rPr>
          <w:rFonts w:ascii="Times New Roman" w:hAnsi="Times New Roman"/>
          <w:sz w:val="16"/>
        </w:rPr>
      </w:pPr>
    </w:p>
    <w:p w:rsidR="00A954AF" w:rsidRPr="001B70E8" w:rsidRDefault="00F74330" w:rsidP="001B70E8">
      <w:pPr>
        <w:pStyle w:val="ListParagraph"/>
        <w:ind w:left="1440"/>
        <w:rPr>
          <w:rFonts w:ascii="Times New Roman" w:hAnsi="Times New Roman"/>
        </w:rPr>
      </w:pPr>
      <w:r>
        <w:rPr>
          <w:rFonts w:ascii="Times New Roman" w:hAnsi="Times New Roman"/>
        </w:rPr>
        <w:t>Surveys conducted with students and faculty at mid-term and at the end of the semester during full implemen</w:t>
      </w:r>
      <w:r w:rsidR="00A92084">
        <w:rPr>
          <w:rFonts w:ascii="Times New Roman" w:hAnsi="Times New Roman"/>
        </w:rPr>
        <w:t>t</w:t>
      </w:r>
      <w:r>
        <w:rPr>
          <w:rFonts w:ascii="Times New Roman" w:hAnsi="Times New Roman"/>
        </w:rPr>
        <w:t>ation in Sp13 reveal that many aspects of the redesigned course were perceived as hi</w:t>
      </w:r>
      <w:r w:rsidR="00A92084">
        <w:rPr>
          <w:rFonts w:ascii="Times New Roman" w:hAnsi="Times New Roman"/>
        </w:rPr>
        <w:t>ghly effective.  On the mid-term student survey, o</w:t>
      </w:r>
      <w:r w:rsidR="007D43AB">
        <w:rPr>
          <w:rFonts w:ascii="Times New Roman" w:hAnsi="Times New Roman"/>
        </w:rPr>
        <w:t>n a scale of 1</w:t>
      </w:r>
      <w:r>
        <w:rPr>
          <w:rFonts w:ascii="Times New Roman" w:hAnsi="Times New Roman"/>
        </w:rPr>
        <w:t xml:space="preserve">-5, with 5 as the highest score, </w:t>
      </w:r>
      <w:r w:rsidR="00A954AF">
        <w:rPr>
          <w:rFonts w:ascii="Times New Roman" w:hAnsi="Times New Roman"/>
        </w:rPr>
        <w:t>88</w:t>
      </w:r>
      <w:r>
        <w:rPr>
          <w:rFonts w:ascii="Times New Roman" w:hAnsi="Times New Roman"/>
        </w:rPr>
        <w:t xml:space="preserve">% of students rated the small group conferences </w:t>
      </w:r>
      <w:r w:rsidR="00A954AF">
        <w:rPr>
          <w:rFonts w:ascii="Times New Roman" w:hAnsi="Times New Roman"/>
        </w:rPr>
        <w:t xml:space="preserve">3, </w:t>
      </w:r>
      <w:r>
        <w:rPr>
          <w:rFonts w:ascii="Times New Roman" w:hAnsi="Times New Roman"/>
        </w:rPr>
        <w:t>4</w:t>
      </w:r>
      <w:r w:rsidR="00A954AF">
        <w:rPr>
          <w:rFonts w:ascii="Times New Roman" w:hAnsi="Times New Roman"/>
        </w:rPr>
        <w:t>, or 5.  8</w:t>
      </w:r>
      <w:r>
        <w:rPr>
          <w:rFonts w:ascii="Times New Roman" w:hAnsi="Times New Roman"/>
        </w:rPr>
        <w:t>8% of students rated the weekl</w:t>
      </w:r>
      <w:r w:rsidR="00A954AF">
        <w:rPr>
          <w:rFonts w:ascii="Times New Roman" w:hAnsi="Times New Roman"/>
        </w:rPr>
        <w:t>y full-class meetings 3, 4, or 5.  7</w:t>
      </w:r>
      <w:r>
        <w:rPr>
          <w:rFonts w:ascii="Times New Roman" w:hAnsi="Times New Roman"/>
        </w:rPr>
        <w:t xml:space="preserve">6% of students rated the </w:t>
      </w:r>
      <w:r w:rsidR="00A954AF">
        <w:rPr>
          <w:rFonts w:ascii="Times New Roman" w:hAnsi="Times New Roman"/>
        </w:rPr>
        <w:t xml:space="preserve">lab day meeting, and the </w:t>
      </w:r>
      <w:r>
        <w:rPr>
          <w:rFonts w:ascii="Times New Roman" w:hAnsi="Times New Roman"/>
        </w:rPr>
        <w:t xml:space="preserve">contribution of the </w:t>
      </w:r>
      <w:r w:rsidR="001B70E8">
        <w:rPr>
          <w:rFonts w:ascii="Times New Roman" w:hAnsi="Times New Roman"/>
        </w:rPr>
        <w:t>Writing Fellows (</w:t>
      </w:r>
      <w:r>
        <w:rPr>
          <w:rFonts w:ascii="Times New Roman" w:hAnsi="Times New Roman"/>
        </w:rPr>
        <w:t>peer facilitators</w:t>
      </w:r>
      <w:r w:rsidR="001B70E8">
        <w:rPr>
          <w:rFonts w:ascii="Times New Roman" w:hAnsi="Times New Roman"/>
        </w:rPr>
        <w:t>)</w:t>
      </w:r>
      <w:r w:rsidR="00A954AF">
        <w:rPr>
          <w:rFonts w:ascii="Times New Roman" w:hAnsi="Times New Roman"/>
        </w:rPr>
        <w:t>,</w:t>
      </w:r>
      <w:r>
        <w:rPr>
          <w:rFonts w:ascii="Times New Roman" w:hAnsi="Times New Roman"/>
        </w:rPr>
        <w:t xml:space="preserve"> as </w:t>
      </w:r>
      <w:r w:rsidR="00A954AF">
        <w:rPr>
          <w:rFonts w:ascii="Times New Roman" w:hAnsi="Times New Roman"/>
        </w:rPr>
        <w:t xml:space="preserve">3, </w:t>
      </w:r>
      <w:r>
        <w:rPr>
          <w:rFonts w:ascii="Times New Roman" w:hAnsi="Times New Roman"/>
        </w:rPr>
        <w:t>4</w:t>
      </w:r>
      <w:r w:rsidR="00A954AF">
        <w:rPr>
          <w:rFonts w:ascii="Times New Roman" w:hAnsi="Times New Roman"/>
        </w:rPr>
        <w:t>,</w:t>
      </w:r>
      <w:r>
        <w:rPr>
          <w:rFonts w:ascii="Times New Roman" w:hAnsi="Times New Roman"/>
        </w:rPr>
        <w:t xml:space="preserve"> or 5.  The use of instructional technology received much lower scores—</w:t>
      </w:r>
      <w:r w:rsidR="00A954AF">
        <w:rPr>
          <w:rFonts w:ascii="Times New Roman" w:hAnsi="Times New Roman"/>
        </w:rPr>
        <w:t>only 52</w:t>
      </w:r>
      <w:r>
        <w:rPr>
          <w:rFonts w:ascii="Times New Roman" w:hAnsi="Times New Roman"/>
        </w:rPr>
        <w:t xml:space="preserve">% of students rated CompClass at </w:t>
      </w:r>
      <w:r w:rsidR="00A954AF">
        <w:rPr>
          <w:rFonts w:ascii="Times New Roman" w:hAnsi="Times New Roman"/>
        </w:rPr>
        <w:t xml:space="preserve">3, </w:t>
      </w:r>
      <w:r>
        <w:rPr>
          <w:rFonts w:ascii="Times New Roman" w:hAnsi="Times New Roman"/>
        </w:rPr>
        <w:t>4</w:t>
      </w:r>
      <w:r w:rsidR="00A954AF">
        <w:rPr>
          <w:rFonts w:ascii="Times New Roman" w:hAnsi="Times New Roman"/>
        </w:rPr>
        <w:t>,</w:t>
      </w:r>
      <w:r>
        <w:rPr>
          <w:rFonts w:ascii="Times New Roman" w:hAnsi="Times New Roman"/>
        </w:rPr>
        <w:t xml:space="preserve"> or 5</w:t>
      </w:r>
      <w:r w:rsidR="00A954AF">
        <w:rPr>
          <w:rFonts w:ascii="Times New Roman" w:hAnsi="Times New Roman"/>
        </w:rPr>
        <w:t xml:space="preserve">.  The </w:t>
      </w:r>
      <w:r w:rsidR="00A954AF">
        <w:rPr>
          <w:rFonts w:ascii="Times New Roman" w:hAnsi="Times New Roman"/>
          <w:i/>
        </w:rPr>
        <w:t>Writing About Writing</w:t>
      </w:r>
      <w:r w:rsidR="00A954AF">
        <w:rPr>
          <w:rFonts w:ascii="Times New Roman" w:hAnsi="Times New Roman"/>
        </w:rPr>
        <w:t xml:space="preserve"> content also earned lower scores, with 63% rating its contribution to their learning at 3, 4, or 5.</w:t>
      </w:r>
      <w:r w:rsidR="001B70E8">
        <w:rPr>
          <w:rFonts w:ascii="Times New Roman" w:hAnsi="Times New Roman"/>
        </w:rPr>
        <w:t xml:space="preserve">  </w:t>
      </w:r>
      <w:r w:rsidR="00A954AF" w:rsidRPr="001B70E8">
        <w:rPr>
          <w:rFonts w:ascii="Times New Roman" w:hAnsi="Times New Roman"/>
        </w:rPr>
        <w:t xml:space="preserve">Surveys of the faculty and </w:t>
      </w:r>
      <w:r w:rsidR="001B70E8">
        <w:rPr>
          <w:rFonts w:ascii="Times New Roman" w:hAnsi="Times New Roman"/>
        </w:rPr>
        <w:t>Writing Fellows</w:t>
      </w:r>
      <w:r w:rsidR="00A954AF" w:rsidRPr="001B70E8">
        <w:rPr>
          <w:rFonts w:ascii="Times New Roman" w:hAnsi="Times New Roman"/>
        </w:rPr>
        <w:t xml:space="preserve"> produced very similar results.</w:t>
      </w:r>
      <w:r w:rsidR="00A92084">
        <w:rPr>
          <w:rFonts w:ascii="Times New Roman" w:hAnsi="Times New Roman"/>
        </w:rPr>
        <w:t xml:space="preserve">  The end-of-term survey produced virtually identical results for all the above questions.</w:t>
      </w:r>
    </w:p>
    <w:p w:rsidR="00A954AF" w:rsidRPr="00477B8C" w:rsidRDefault="00A954AF" w:rsidP="00F74330">
      <w:pPr>
        <w:pStyle w:val="ListParagraph"/>
        <w:ind w:left="1440"/>
        <w:rPr>
          <w:rFonts w:ascii="Times New Roman" w:hAnsi="Times New Roman"/>
          <w:sz w:val="16"/>
        </w:rPr>
      </w:pPr>
    </w:p>
    <w:p w:rsidR="00477B8C" w:rsidRDefault="00A954AF" w:rsidP="00F74330">
      <w:pPr>
        <w:pStyle w:val="ListParagraph"/>
        <w:ind w:left="1440"/>
        <w:rPr>
          <w:rFonts w:ascii="Times New Roman" w:hAnsi="Times New Roman"/>
        </w:rPr>
      </w:pPr>
      <w:r>
        <w:rPr>
          <w:rFonts w:ascii="Times New Roman" w:hAnsi="Times New Roman"/>
        </w:rPr>
        <w:t xml:space="preserve">On these surveys we also asked questions related to the course’s learning outcomes.  On </w:t>
      </w:r>
      <w:r w:rsidR="00A92084">
        <w:rPr>
          <w:rFonts w:ascii="Times New Roman" w:hAnsi="Times New Roman"/>
        </w:rPr>
        <w:t xml:space="preserve">the mid-term student survey, on </w:t>
      </w:r>
      <w:r>
        <w:rPr>
          <w:rFonts w:ascii="Times New Roman" w:hAnsi="Times New Roman"/>
        </w:rPr>
        <w:t xml:space="preserve">the question of whether the course was helping them learn to </w:t>
      </w:r>
      <w:r w:rsidR="007D43AB">
        <w:rPr>
          <w:rFonts w:ascii="Times New Roman" w:hAnsi="Times New Roman"/>
        </w:rPr>
        <w:t xml:space="preserve">produce writing over multiple drafts, 84% rated this 3, 4, or 5.  Asked how well the course helped them recognize purpose, audience, and format for </w:t>
      </w:r>
      <w:r w:rsidR="00BE6319">
        <w:rPr>
          <w:rFonts w:ascii="Times New Roman" w:hAnsi="Times New Roman"/>
        </w:rPr>
        <w:t>different</w:t>
      </w:r>
      <w:r w:rsidR="007D43AB">
        <w:rPr>
          <w:rFonts w:ascii="Times New Roman" w:hAnsi="Times New Roman"/>
        </w:rPr>
        <w:t xml:space="preserve"> documents, 83% rated this 3, 4, or 5.  Asked how well it helped them learn to critique their own and others’ work, 83% rated this 3, 4, or 5.  Regarding how well the course helped them learn to manage grammar and punctuation, 75% rated this 3, 4, or 5.</w:t>
      </w:r>
      <w:r w:rsidR="00A92084">
        <w:rPr>
          <w:rFonts w:ascii="Times New Roman" w:hAnsi="Times New Roman"/>
        </w:rPr>
        <w:t xml:space="preserve">  Again, the end-of-term survey </w:t>
      </w:r>
      <w:r w:rsidR="00477B8C">
        <w:rPr>
          <w:rFonts w:ascii="Times New Roman" w:hAnsi="Times New Roman"/>
        </w:rPr>
        <w:t>echoed</w:t>
      </w:r>
      <w:r w:rsidR="00A92084">
        <w:rPr>
          <w:rFonts w:ascii="Times New Roman" w:hAnsi="Times New Roman"/>
        </w:rPr>
        <w:t xml:space="preserve"> </w:t>
      </w:r>
      <w:r w:rsidR="00477B8C">
        <w:rPr>
          <w:rFonts w:ascii="Times New Roman" w:hAnsi="Times New Roman"/>
        </w:rPr>
        <w:t xml:space="preserve">these findings.  </w:t>
      </w:r>
    </w:p>
    <w:p w:rsidR="007D43AB" w:rsidRPr="00477B8C" w:rsidRDefault="007D43AB" w:rsidP="00F74330">
      <w:pPr>
        <w:pStyle w:val="ListParagraph"/>
        <w:ind w:left="1440"/>
        <w:rPr>
          <w:rFonts w:ascii="Times New Roman" w:hAnsi="Times New Roman"/>
          <w:sz w:val="16"/>
        </w:rPr>
      </w:pPr>
    </w:p>
    <w:p w:rsidR="002177E6" w:rsidRDefault="007D43AB" w:rsidP="00F74330">
      <w:pPr>
        <w:pStyle w:val="ListParagraph"/>
        <w:ind w:left="1440"/>
        <w:rPr>
          <w:rFonts w:ascii="Times New Roman" w:hAnsi="Times New Roman"/>
        </w:rPr>
      </w:pPr>
      <w:r>
        <w:rPr>
          <w:rFonts w:ascii="Times New Roman" w:hAnsi="Times New Roman"/>
        </w:rPr>
        <w:t xml:space="preserve">Our examination of 49 essays from Sp13 classes, </w:t>
      </w:r>
      <w:r w:rsidR="002177E6">
        <w:rPr>
          <w:rFonts w:ascii="Times New Roman" w:hAnsi="Times New Roman"/>
        </w:rPr>
        <w:t xml:space="preserve">assessing students’ performance on </w:t>
      </w:r>
      <w:r>
        <w:rPr>
          <w:rFonts w:ascii="Times New Roman" w:hAnsi="Times New Roman"/>
        </w:rPr>
        <w:t xml:space="preserve">the same learning outcomes, reinforced these findings from the surveys.  </w:t>
      </w:r>
      <w:r w:rsidR="002177E6">
        <w:rPr>
          <w:rFonts w:ascii="Times New Roman" w:hAnsi="Times New Roman"/>
        </w:rPr>
        <w:t xml:space="preserve">For example, 72% of the essays met or exceeded performance expectations for addressing audience, purpose, context, and genre.  92% of the essays met or exceeded performance expectations for using reading and writing for inquiry, learning, thinking, and communicating.  </w:t>
      </w:r>
    </w:p>
    <w:p w:rsidR="002177E6" w:rsidRPr="00477B8C" w:rsidRDefault="002177E6" w:rsidP="00F74330">
      <w:pPr>
        <w:pStyle w:val="ListParagraph"/>
        <w:ind w:left="1440"/>
        <w:rPr>
          <w:rFonts w:ascii="Times New Roman" w:hAnsi="Times New Roman"/>
          <w:sz w:val="16"/>
        </w:rPr>
      </w:pPr>
    </w:p>
    <w:p w:rsidR="00A635ED" w:rsidRPr="002177E6" w:rsidRDefault="002177E6" w:rsidP="002177E6">
      <w:pPr>
        <w:ind w:left="360"/>
        <w:rPr>
          <w:rFonts w:ascii="Times New Roman" w:hAnsi="Times New Roman"/>
        </w:rPr>
      </w:pPr>
      <w:r>
        <w:rPr>
          <w:rFonts w:ascii="Times New Roman" w:hAnsi="Times New Roman"/>
        </w:rPr>
        <w:t>B. Impact on Cost Savings</w:t>
      </w:r>
    </w:p>
    <w:p w:rsidR="00AF33D6" w:rsidRDefault="001B70E8" w:rsidP="00A635ED">
      <w:pPr>
        <w:pStyle w:val="ListParagraph"/>
        <w:ind w:left="1440"/>
        <w:rPr>
          <w:rFonts w:ascii="Times New Roman" w:hAnsi="Times New Roman"/>
        </w:rPr>
      </w:pPr>
      <w:r>
        <w:rPr>
          <w:rFonts w:ascii="Times New Roman" w:hAnsi="Times New Roman"/>
        </w:rPr>
        <w:t xml:space="preserve">As noted in our final proposal, we anticipated cost savings with the redesigned course of about $2 per student, which has proved to be the case.  Although this is a minor reduction in cost, we are very satisfied because it was achieved despite the addition of instructional personnel in the form of our Writing Fellows, who are in the classroom with students once per week, and despite a marked increase in small-group instruction.  The elimination of Engl 100A, the 4-credit composition class for less-prepared student writers, offsets the cost of the Writing Fellows.  </w:t>
      </w:r>
    </w:p>
    <w:p w:rsidR="00AF33D6" w:rsidRPr="004E51BE" w:rsidRDefault="00AF33D6" w:rsidP="00A635ED">
      <w:pPr>
        <w:pStyle w:val="ListParagraph"/>
        <w:ind w:left="1440"/>
        <w:rPr>
          <w:rFonts w:ascii="Times New Roman" w:hAnsi="Times New Roman"/>
          <w:sz w:val="16"/>
        </w:rPr>
      </w:pPr>
    </w:p>
    <w:p w:rsidR="00F74BF2" w:rsidRDefault="00AF33D6" w:rsidP="00A635ED">
      <w:pPr>
        <w:pStyle w:val="ListParagraph"/>
        <w:ind w:left="1440"/>
        <w:rPr>
          <w:rFonts w:ascii="Times New Roman" w:hAnsi="Times New Roman"/>
        </w:rPr>
      </w:pPr>
      <w:r>
        <w:rPr>
          <w:rFonts w:ascii="Times New Roman" w:hAnsi="Times New Roman"/>
        </w:rPr>
        <w:t xml:space="preserve">The CPT submitted with our proposal took into account the additional courses that four of our full-time faculty would teach once Engl 100A was eliminated.  Since these instructors’ contracts require them to teach 24 credits per year, eliminating 100A means that each of them teaches on average one additional section per year—sections that the English department does not need to hire adjuncts to teach.  However, the department and the Dean’s office felt this was not appropriate to consider in budget calculations, with the result that in the view of the department and the Dean, the relevant cost savings is limited to the actual savings from the elimination of 100A sections </w:t>
      </w:r>
      <w:r w:rsidR="00F74BF2">
        <w:rPr>
          <w:rFonts w:ascii="Times New Roman" w:hAnsi="Times New Roman"/>
        </w:rPr>
        <w:t>that had been staffed by adjuncts.  According to CPT calculations, though, the cost savings are greater.</w:t>
      </w:r>
    </w:p>
    <w:p w:rsidR="00F74BF2" w:rsidRPr="004E51BE" w:rsidRDefault="00F74BF2" w:rsidP="00A635ED">
      <w:pPr>
        <w:pStyle w:val="ListParagraph"/>
        <w:ind w:left="1440"/>
        <w:rPr>
          <w:rFonts w:ascii="Times New Roman" w:hAnsi="Times New Roman"/>
          <w:sz w:val="16"/>
        </w:rPr>
      </w:pPr>
    </w:p>
    <w:p w:rsidR="00F5254F" w:rsidRDefault="00F74BF2" w:rsidP="00F74BF2">
      <w:pPr>
        <w:ind w:left="1440"/>
        <w:rPr>
          <w:rFonts w:ascii="Times New Roman" w:hAnsi="Times New Roman"/>
        </w:rPr>
      </w:pPr>
      <w:r>
        <w:rPr>
          <w:rFonts w:ascii="Times New Roman" w:hAnsi="Times New Roman"/>
        </w:rPr>
        <w:t>See the attached appendix, with updated CPT form.</w:t>
      </w:r>
    </w:p>
    <w:p w:rsidR="00F5254F" w:rsidRPr="004E51BE" w:rsidRDefault="00F5254F" w:rsidP="00F74BF2">
      <w:pPr>
        <w:ind w:left="1440"/>
        <w:rPr>
          <w:rFonts w:ascii="Times New Roman" w:hAnsi="Times New Roman"/>
          <w:sz w:val="16"/>
        </w:rPr>
      </w:pPr>
    </w:p>
    <w:p w:rsidR="00F5254F" w:rsidRPr="009B4BD3" w:rsidRDefault="00F5254F" w:rsidP="009B4BD3">
      <w:pPr>
        <w:pStyle w:val="ListParagraph"/>
        <w:numPr>
          <w:ilvl w:val="0"/>
          <w:numId w:val="7"/>
        </w:numPr>
        <w:rPr>
          <w:rFonts w:ascii="Times New Roman" w:hAnsi="Times New Roman"/>
        </w:rPr>
      </w:pPr>
      <w:r w:rsidRPr="009B4BD3">
        <w:rPr>
          <w:rFonts w:ascii="Times New Roman" w:hAnsi="Times New Roman"/>
        </w:rPr>
        <w:t>Lessons Learned</w:t>
      </w:r>
    </w:p>
    <w:p w:rsidR="00C91D95" w:rsidRDefault="00F5254F" w:rsidP="00F5254F">
      <w:pPr>
        <w:pStyle w:val="ListParagraph"/>
        <w:numPr>
          <w:ilvl w:val="1"/>
          <w:numId w:val="7"/>
        </w:numPr>
        <w:rPr>
          <w:rFonts w:ascii="Times New Roman" w:hAnsi="Times New Roman"/>
        </w:rPr>
      </w:pPr>
      <w:r>
        <w:rPr>
          <w:rFonts w:ascii="Times New Roman" w:hAnsi="Times New Roman"/>
        </w:rPr>
        <w:t>Pedagogical Improvement Techniques</w:t>
      </w:r>
    </w:p>
    <w:p w:rsidR="00FD15D0" w:rsidRDefault="00C91D95" w:rsidP="00C91D95">
      <w:pPr>
        <w:pStyle w:val="ListParagraph"/>
        <w:numPr>
          <w:ilvl w:val="2"/>
          <w:numId w:val="7"/>
        </w:numPr>
        <w:rPr>
          <w:rFonts w:ascii="Times New Roman" w:hAnsi="Times New Roman"/>
        </w:rPr>
      </w:pPr>
      <w:r>
        <w:rPr>
          <w:rFonts w:ascii="Times New Roman" w:hAnsi="Times New Roman"/>
        </w:rPr>
        <w:t xml:space="preserve">Small group conferences: </w:t>
      </w:r>
      <w:r w:rsidR="00377A41">
        <w:rPr>
          <w:rFonts w:ascii="Times New Roman" w:hAnsi="Times New Roman"/>
        </w:rPr>
        <w:t>S</w:t>
      </w:r>
      <w:r w:rsidR="00FD15D0">
        <w:rPr>
          <w:rFonts w:ascii="Times New Roman" w:hAnsi="Times New Roman"/>
        </w:rPr>
        <w:t>tudents are placed into mixed-ability groups of four at the start of the semester, and every two weeks each group meets for a 25-minute conference with the instructor, for feedback/discussion of work in progress.</w:t>
      </w:r>
    </w:p>
    <w:p w:rsidR="00377A41" w:rsidRDefault="00377A41" w:rsidP="00C91D95">
      <w:pPr>
        <w:pStyle w:val="ListParagraph"/>
        <w:numPr>
          <w:ilvl w:val="2"/>
          <w:numId w:val="7"/>
        </w:numPr>
        <w:rPr>
          <w:rFonts w:ascii="Times New Roman" w:hAnsi="Times New Roman"/>
        </w:rPr>
      </w:pPr>
      <w:r>
        <w:rPr>
          <w:rFonts w:ascii="Times New Roman" w:hAnsi="Times New Roman"/>
        </w:rPr>
        <w:t>Writing Fellows: T</w:t>
      </w:r>
      <w:r w:rsidR="00FD15D0">
        <w:rPr>
          <w:rFonts w:ascii="Times New Roman" w:hAnsi="Times New Roman"/>
        </w:rPr>
        <w:t xml:space="preserve">hese peer facilitators meet with students for 75 minutes every week, meeting with half of the class (12 students) one week and the other half the next.  They facilitate peer review groups, lead discussions, present mini-lessons, and assist students individually as they work on their writing and research.  Most Writing Fellows are experienced undergraduate Writing Center tutors, but some are graduate </w:t>
      </w:r>
      <w:r w:rsidR="00BE6319">
        <w:rPr>
          <w:rFonts w:ascii="Times New Roman" w:hAnsi="Times New Roman"/>
        </w:rPr>
        <w:t>students</w:t>
      </w:r>
      <w:r w:rsidR="00FD15D0">
        <w:rPr>
          <w:rFonts w:ascii="Times New Roman" w:hAnsi="Times New Roman"/>
        </w:rPr>
        <w:t xml:space="preserve"> or recent grads of baccalaureate or graduate programs.  All receive training for the WF role before they begin, and </w:t>
      </w:r>
      <w:r w:rsidR="004F6740">
        <w:rPr>
          <w:rFonts w:ascii="Times New Roman" w:hAnsi="Times New Roman"/>
        </w:rPr>
        <w:t>are supported and mentored on an ongoing basis.  They are paid $10/hour and also earn academic credit.</w:t>
      </w:r>
    </w:p>
    <w:p w:rsidR="00D6014C" w:rsidRDefault="00377A41" w:rsidP="00C91D95">
      <w:pPr>
        <w:pStyle w:val="ListParagraph"/>
        <w:numPr>
          <w:ilvl w:val="2"/>
          <w:numId w:val="7"/>
        </w:numPr>
        <w:rPr>
          <w:rFonts w:ascii="Times New Roman" w:hAnsi="Times New Roman"/>
        </w:rPr>
      </w:pPr>
      <w:r>
        <w:rPr>
          <w:rFonts w:ascii="Times New Roman" w:hAnsi="Times New Roman"/>
        </w:rPr>
        <w:t>Enhanced use of instructional technology: We provide a variety of online resources for students’ use in and out of class</w:t>
      </w:r>
      <w:r w:rsidR="00FD2578">
        <w:rPr>
          <w:rFonts w:ascii="Times New Roman" w:hAnsi="Times New Roman"/>
        </w:rPr>
        <w:t>, including a digital handbook, quizzes</w:t>
      </w:r>
      <w:r w:rsidR="00D6014C">
        <w:rPr>
          <w:rFonts w:ascii="Times New Roman" w:hAnsi="Times New Roman"/>
        </w:rPr>
        <w:t xml:space="preserve">, and links </w:t>
      </w:r>
      <w:r w:rsidR="00FD2578">
        <w:rPr>
          <w:rFonts w:ascii="Times New Roman" w:hAnsi="Times New Roman"/>
        </w:rPr>
        <w:t xml:space="preserve">to online </w:t>
      </w:r>
      <w:r w:rsidR="00D6014C">
        <w:rPr>
          <w:rFonts w:ascii="Times New Roman" w:hAnsi="Times New Roman"/>
        </w:rPr>
        <w:t>resources and tutorials.  Four instructors are piloting an online peer review tool called FRED, from Norton.</w:t>
      </w:r>
    </w:p>
    <w:p w:rsidR="00BE0463" w:rsidRDefault="00D6014C" w:rsidP="00C91D95">
      <w:pPr>
        <w:pStyle w:val="ListParagraph"/>
        <w:numPr>
          <w:ilvl w:val="2"/>
          <w:numId w:val="7"/>
        </w:numPr>
        <w:rPr>
          <w:rFonts w:ascii="Times New Roman" w:hAnsi="Times New Roman"/>
        </w:rPr>
      </w:pPr>
      <w:r>
        <w:rPr>
          <w:rFonts w:ascii="Times New Roman" w:hAnsi="Times New Roman"/>
        </w:rPr>
        <w:t xml:space="preserve">Independent, self-study activities: </w:t>
      </w:r>
      <w:r w:rsidR="00BE0463">
        <w:rPr>
          <w:rFonts w:ascii="Times New Roman" w:hAnsi="Times New Roman"/>
        </w:rPr>
        <w:t>Students complete a multi-step Library Literacy Assignment involving tutorials and a quiz, and they also view a video and complete a short quiz on the common policies regarding attendance, late work, etc. in Engl 100.</w:t>
      </w:r>
    </w:p>
    <w:p w:rsidR="00732A4D" w:rsidRPr="00732A4D" w:rsidRDefault="00BE0463" w:rsidP="00C91D95">
      <w:pPr>
        <w:pStyle w:val="ListParagraph"/>
        <w:numPr>
          <w:ilvl w:val="2"/>
          <w:numId w:val="7"/>
        </w:numPr>
        <w:rPr>
          <w:rFonts w:ascii="Times New Roman" w:hAnsi="Times New Roman"/>
          <w:i/>
        </w:rPr>
      </w:pPr>
      <w:r w:rsidRPr="00BE0463">
        <w:rPr>
          <w:rFonts w:ascii="Times New Roman" w:hAnsi="Times New Roman"/>
          <w:i/>
        </w:rPr>
        <w:t xml:space="preserve">Writing About Writing </w:t>
      </w:r>
      <w:r>
        <w:rPr>
          <w:rFonts w:ascii="Times New Roman" w:hAnsi="Times New Roman"/>
        </w:rPr>
        <w:t>content: Drawing on the work of Downs and Wardle, this approach introduces students to the field of composition studies and to the notion that writing is itself a subject that can be studied and discussed.  Students engage with scholarly publications in the field, and produce their own essays that grow from these readings.  Faculty use this content, at a minimum, for a three-week unit, or use it throughout the semester.</w:t>
      </w:r>
      <w:r w:rsidR="008F68AB">
        <w:rPr>
          <w:rFonts w:ascii="Times New Roman" w:hAnsi="Times New Roman"/>
        </w:rPr>
        <w:t xml:space="preserve">  Norton, the publisher of the Downs and Wardle text, produced a custom, low-cost, condensed version of the text for our use.</w:t>
      </w:r>
    </w:p>
    <w:p w:rsidR="00732A4D" w:rsidRPr="004E51BE" w:rsidRDefault="00732A4D" w:rsidP="00732A4D">
      <w:pPr>
        <w:pStyle w:val="ListParagraph"/>
        <w:ind w:left="2160"/>
        <w:rPr>
          <w:rFonts w:ascii="Times New Roman" w:hAnsi="Times New Roman"/>
          <w:i/>
          <w:sz w:val="16"/>
        </w:rPr>
      </w:pPr>
    </w:p>
    <w:p w:rsidR="00732A4D" w:rsidRPr="00732A4D" w:rsidRDefault="00732A4D" w:rsidP="00732A4D">
      <w:pPr>
        <w:pStyle w:val="ListParagraph"/>
        <w:numPr>
          <w:ilvl w:val="1"/>
          <w:numId w:val="7"/>
        </w:numPr>
        <w:rPr>
          <w:rFonts w:ascii="Times New Roman" w:hAnsi="Times New Roman"/>
          <w:i/>
        </w:rPr>
      </w:pPr>
      <w:r>
        <w:rPr>
          <w:rFonts w:ascii="Times New Roman" w:hAnsi="Times New Roman"/>
        </w:rPr>
        <w:t>Cost Reduction Techniques</w:t>
      </w:r>
    </w:p>
    <w:p w:rsidR="00FD2578" w:rsidRPr="00FD2578" w:rsidRDefault="00732A4D" w:rsidP="00732A4D">
      <w:pPr>
        <w:pStyle w:val="ListParagraph"/>
        <w:numPr>
          <w:ilvl w:val="2"/>
          <w:numId w:val="7"/>
        </w:numPr>
        <w:rPr>
          <w:rFonts w:ascii="Times New Roman" w:hAnsi="Times New Roman"/>
          <w:i/>
        </w:rPr>
      </w:pPr>
      <w:r>
        <w:rPr>
          <w:rFonts w:ascii="Times New Roman" w:hAnsi="Times New Roman"/>
        </w:rPr>
        <w:t xml:space="preserve">Elimination of Engl 100A: This 4-credit version of first-year composition, which previously comprised about one third of our composition sections, is no longer being offered, saving approximately $18,000 per year according to CPT calculations.  Students placed into 100A were less-prepared writers, identified </w:t>
      </w:r>
      <w:r w:rsidR="00FD2578">
        <w:rPr>
          <w:rFonts w:ascii="Times New Roman" w:hAnsi="Times New Roman"/>
        </w:rPr>
        <w:t>by placement testing; however, their DFW rates over 10 years were significantly higher than Engl 100 students, causing us to question the effectiveness of the 100A approach. The Writing Fellows program, with its paid peer facilitators, offsets these savings, although CPT calculations show a savings of $2 per student.</w:t>
      </w:r>
    </w:p>
    <w:p w:rsidR="00FD2578" w:rsidRPr="004E51BE" w:rsidRDefault="00FD2578" w:rsidP="00FD2578">
      <w:pPr>
        <w:pStyle w:val="ListParagraph"/>
        <w:ind w:left="2160"/>
        <w:rPr>
          <w:rFonts w:ascii="Times New Roman" w:hAnsi="Times New Roman"/>
          <w:sz w:val="16"/>
        </w:rPr>
      </w:pPr>
    </w:p>
    <w:p w:rsidR="00FD2578" w:rsidRPr="00FD2578" w:rsidRDefault="00FD2578" w:rsidP="00FD2578">
      <w:pPr>
        <w:pStyle w:val="ListParagraph"/>
        <w:numPr>
          <w:ilvl w:val="1"/>
          <w:numId w:val="7"/>
        </w:numPr>
        <w:rPr>
          <w:rFonts w:ascii="Times New Roman" w:hAnsi="Times New Roman"/>
          <w:i/>
        </w:rPr>
      </w:pPr>
      <w:r>
        <w:rPr>
          <w:rFonts w:ascii="Times New Roman" w:hAnsi="Times New Roman"/>
        </w:rPr>
        <w:t>Implementation Issues</w:t>
      </w:r>
    </w:p>
    <w:p w:rsidR="009B4BD3" w:rsidRDefault="00FD2578" w:rsidP="009B4BD3">
      <w:pPr>
        <w:pStyle w:val="ListParagraph"/>
        <w:numPr>
          <w:ilvl w:val="2"/>
          <w:numId w:val="7"/>
        </w:numPr>
        <w:rPr>
          <w:rFonts w:ascii="Times New Roman" w:hAnsi="Times New Roman"/>
        </w:rPr>
      </w:pPr>
      <w:r w:rsidRPr="00FD2578">
        <w:rPr>
          <w:rFonts w:ascii="Times New Roman" w:hAnsi="Times New Roman"/>
        </w:rPr>
        <w:t xml:space="preserve">Instructional technology: </w:t>
      </w:r>
      <w:r>
        <w:rPr>
          <w:rFonts w:ascii="Times New Roman" w:hAnsi="Times New Roman"/>
        </w:rPr>
        <w:t xml:space="preserve">Originally, we used CompClass, a product from Bedford/St Martins with quizzes, tutorials, a “writing space” for peer review, and an online </w:t>
      </w:r>
      <w:r w:rsidR="00575819">
        <w:rPr>
          <w:rFonts w:ascii="Times New Roman" w:hAnsi="Times New Roman"/>
        </w:rPr>
        <w:t xml:space="preserve">grammar </w:t>
      </w:r>
      <w:r>
        <w:rPr>
          <w:rFonts w:ascii="Times New Roman" w:hAnsi="Times New Roman"/>
        </w:rPr>
        <w:t>handbook, but this proved too complex and “buggy.”  We now use a simpler approach, employing a digital handbook along with quizzes from Norton, and adding links ourselves on Bb that take students to various resources and tutorials.</w:t>
      </w:r>
    </w:p>
    <w:p w:rsidR="009B4BD3" w:rsidRDefault="00575819" w:rsidP="009B4BD3">
      <w:pPr>
        <w:pStyle w:val="ListParagraph"/>
        <w:numPr>
          <w:ilvl w:val="2"/>
          <w:numId w:val="7"/>
        </w:numPr>
        <w:rPr>
          <w:rFonts w:ascii="Times New Roman" w:hAnsi="Times New Roman"/>
        </w:rPr>
      </w:pPr>
      <w:r w:rsidRPr="009B4BD3">
        <w:rPr>
          <w:rFonts w:ascii="Times New Roman" w:hAnsi="Times New Roman"/>
        </w:rPr>
        <w:t xml:space="preserve">Writing Fellows utilization: Survey data and discussions with WFs and faculty revealed that some WFs were being used more effectively than others.  Some were being under-utilized, while others were being given a great deal of independence and inadequate direction.  This caused us to revisit our guidelines for the WF’s role, and to provide more guidance to instructors, an approach that is ongoing.  As part of this, we had WFs write descriptions </w:t>
      </w:r>
      <w:r w:rsidR="008F68AB" w:rsidRPr="009B4BD3">
        <w:rPr>
          <w:rFonts w:ascii="Times New Roman" w:hAnsi="Times New Roman"/>
        </w:rPr>
        <w:t>of successful classroom activit</w:t>
      </w:r>
      <w:r w:rsidRPr="009B4BD3">
        <w:rPr>
          <w:rFonts w:ascii="Times New Roman" w:hAnsi="Times New Roman"/>
        </w:rPr>
        <w:t xml:space="preserve">ies they had designed, which we shared with </w:t>
      </w:r>
      <w:r w:rsidR="008F68AB" w:rsidRPr="009B4BD3">
        <w:rPr>
          <w:rFonts w:ascii="Times New Roman" w:hAnsi="Times New Roman"/>
        </w:rPr>
        <w:t>faculty.</w:t>
      </w:r>
    </w:p>
    <w:p w:rsidR="009B4BD3" w:rsidRDefault="008F68AB" w:rsidP="009B4BD3">
      <w:pPr>
        <w:pStyle w:val="ListParagraph"/>
        <w:numPr>
          <w:ilvl w:val="2"/>
          <w:numId w:val="7"/>
        </w:numPr>
        <w:rPr>
          <w:rFonts w:ascii="Times New Roman" w:hAnsi="Times New Roman"/>
        </w:rPr>
      </w:pPr>
      <w:r w:rsidRPr="009B4BD3">
        <w:rPr>
          <w:rFonts w:ascii="Times New Roman" w:hAnsi="Times New Roman"/>
          <w:i/>
        </w:rPr>
        <w:t xml:space="preserve">Writing About Writing </w:t>
      </w:r>
      <w:r w:rsidRPr="009B4BD3">
        <w:rPr>
          <w:rFonts w:ascii="Times New Roman" w:hAnsi="Times New Roman"/>
        </w:rPr>
        <w:t>content: Survey results regarding this aspect of the course are mixed.  At this</w:t>
      </w:r>
      <w:r w:rsidR="00477B8C">
        <w:rPr>
          <w:rFonts w:ascii="Times New Roman" w:hAnsi="Times New Roman"/>
        </w:rPr>
        <w:t xml:space="preserve"> time, we are not making changes</w:t>
      </w:r>
      <w:r w:rsidRPr="009B4BD3">
        <w:rPr>
          <w:rFonts w:ascii="Times New Roman" w:hAnsi="Times New Roman"/>
        </w:rPr>
        <w:t>, interested to see how well the content is working after this second semester of its use in all sections.</w:t>
      </w:r>
    </w:p>
    <w:p w:rsidR="009B4BD3" w:rsidRPr="009B4BD3" w:rsidRDefault="008F68AB" w:rsidP="009B4BD3">
      <w:pPr>
        <w:pStyle w:val="ListParagraph"/>
        <w:numPr>
          <w:ilvl w:val="2"/>
          <w:numId w:val="7"/>
        </w:numPr>
        <w:rPr>
          <w:rFonts w:ascii="Times New Roman" w:hAnsi="Times New Roman"/>
        </w:rPr>
      </w:pPr>
      <w:r w:rsidRPr="009B4BD3">
        <w:rPr>
          <w:rFonts w:ascii="Times New Roman" w:hAnsi="Times New Roman"/>
        </w:rPr>
        <w:t xml:space="preserve">Most successful changes: The small group conferences are highly </w:t>
      </w:r>
      <w:r w:rsidR="0054340F" w:rsidRPr="009B4BD3">
        <w:rPr>
          <w:rFonts w:ascii="Times New Roman" w:hAnsi="Times New Roman"/>
        </w:rPr>
        <w:t xml:space="preserve">effective, and are the heart of the redesigned course.  We are fully committed to this aspect of our meeting pattern, and going forward we will continue to refine other parts of the course that support it and make it possible, such as the Writing Fellows program.  The self-study activities have also proved successful, as has the adoption of the common policies—these standardized policies regarding attendance, late work, class participation, and other </w:t>
      </w:r>
      <w:r w:rsidR="009B4BD3" w:rsidRPr="009B4BD3">
        <w:rPr>
          <w:rFonts w:ascii="Times New Roman" w:hAnsi="Times New Roman"/>
        </w:rPr>
        <w:t>issues give students clear, consistent guidance and are a benefit to faculty as well.</w:t>
      </w:r>
    </w:p>
    <w:p w:rsidR="009B4BD3" w:rsidRDefault="009B4BD3" w:rsidP="009B4BD3">
      <w:pPr>
        <w:pStyle w:val="ListParagraph"/>
        <w:numPr>
          <w:ilvl w:val="0"/>
          <w:numId w:val="7"/>
        </w:numPr>
        <w:rPr>
          <w:rFonts w:ascii="Times New Roman" w:hAnsi="Times New Roman"/>
        </w:rPr>
      </w:pPr>
      <w:r>
        <w:rPr>
          <w:rFonts w:ascii="Times New Roman" w:hAnsi="Times New Roman"/>
        </w:rPr>
        <w:t>Sustainability</w:t>
      </w:r>
    </w:p>
    <w:p w:rsidR="000236DC" w:rsidRDefault="009B4BD3" w:rsidP="009B4BD3">
      <w:pPr>
        <w:pStyle w:val="ListParagraph"/>
        <w:ind w:left="1440"/>
        <w:rPr>
          <w:rFonts w:ascii="Times New Roman" w:hAnsi="Times New Roman"/>
        </w:rPr>
      </w:pPr>
      <w:r>
        <w:rPr>
          <w:rFonts w:ascii="Times New Roman" w:hAnsi="Times New Roman"/>
        </w:rPr>
        <w:t xml:space="preserve">The </w:t>
      </w:r>
      <w:r w:rsidR="00CD2694">
        <w:rPr>
          <w:rFonts w:ascii="Times New Roman" w:hAnsi="Times New Roman"/>
        </w:rPr>
        <w:t xml:space="preserve">success of our </w:t>
      </w:r>
      <w:r>
        <w:rPr>
          <w:rFonts w:ascii="Times New Roman" w:hAnsi="Times New Roman"/>
        </w:rPr>
        <w:t xml:space="preserve">redesign of Engl 100 has </w:t>
      </w:r>
      <w:r w:rsidR="00CD2694">
        <w:rPr>
          <w:rFonts w:ascii="Times New Roman" w:hAnsi="Times New Roman"/>
        </w:rPr>
        <w:t>earned it the</w:t>
      </w:r>
      <w:r>
        <w:rPr>
          <w:rFonts w:ascii="Times New Roman" w:hAnsi="Times New Roman"/>
        </w:rPr>
        <w:t xml:space="preserve"> support of the English</w:t>
      </w:r>
      <w:r w:rsidR="00CD2694">
        <w:rPr>
          <w:rFonts w:ascii="Times New Roman" w:hAnsi="Times New Roman"/>
        </w:rPr>
        <w:t xml:space="preserve"> department and the College of Arts, Humanities, and Social Sciences.  Dr. Freeman Hrabowski, UMBC’s president, has referred to our redesign numerous times in interviews and publications, and over the past year articles in </w:t>
      </w:r>
      <w:r w:rsidR="00CD2694">
        <w:rPr>
          <w:rFonts w:ascii="Times New Roman" w:hAnsi="Times New Roman"/>
          <w:i/>
        </w:rPr>
        <w:t>The Chronicle of Higher Education</w:t>
      </w:r>
      <w:r w:rsidR="00CD2694">
        <w:rPr>
          <w:rFonts w:ascii="Times New Roman" w:hAnsi="Times New Roman"/>
        </w:rPr>
        <w:t xml:space="preserve"> and </w:t>
      </w:r>
      <w:r w:rsidR="00CD2694">
        <w:rPr>
          <w:rFonts w:ascii="Times New Roman" w:hAnsi="Times New Roman"/>
          <w:i/>
        </w:rPr>
        <w:t>The Washington Post</w:t>
      </w:r>
      <w:r w:rsidR="00CD2694">
        <w:rPr>
          <w:rFonts w:ascii="Times New Roman" w:hAnsi="Times New Roman"/>
        </w:rPr>
        <w:t xml:space="preserve"> have focused on our redesign, and we have given presentations about it to audiences ranging from the annual UMBC University Retreat, to alumni donors, to the Writing Program Administrators’ 2013 conference.  This remarkable, positive reception has helped ensure that our redesign will continue to inspire and thrive.  </w:t>
      </w:r>
      <w:r w:rsidR="000236DC">
        <w:rPr>
          <w:rFonts w:ascii="Times New Roman" w:hAnsi="Times New Roman"/>
        </w:rPr>
        <w:t>UMBC’s culture of innovation encourages us to continually reas</w:t>
      </w:r>
      <w:r w:rsidR="006863B4">
        <w:rPr>
          <w:rFonts w:ascii="Times New Roman" w:hAnsi="Times New Roman"/>
        </w:rPr>
        <w:t>sess, refine, and explore in</w:t>
      </w:r>
      <w:r w:rsidR="000236DC">
        <w:rPr>
          <w:rFonts w:ascii="Times New Roman" w:hAnsi="Times New Roman"/>
        </w:rPr>
        <w:t xml:space="preserve"> </w:t>
      </w:r>
      <w:r w:rsidR="006863B4">
        <w:rPr>
          <w:rFonts w:ascii="Times New Roman" w:hAnsi="Times New Roman"/>
        </w:rPr>
        <w:t>Engl 100</w:t>
      </w:r>
      <w:r w:rsidR="000236DC">
        <w:rPr>
          <w:rFonts w:ascii="Times New Roman" w:hAnsi="Times New Roman"/>
        </w:rPr>
        <w:t xml:space="preserve">; for example, we plan to apply for UMBC Innovation Fund grants to let us pilot a new computer lab layout for </w:t>
      </w:r>
      <w:r w:rsidR="006863B4">
        <w:rPr>
          <w:rFonts w:ascii="Times New Roman" w:hAnsi="Times New Roman"/>
        </w:rPr>
        <w:t>the course</w:t>
      </w:r>
      <w:r w:rsidR="000236DC">
        <w:rPr>
          <w:rFonts w:ascii="Times New Roman" w:hAnsi="Times New Roman"/>
        </w:rPr>
        <w:t xml:space="preserve"> in spring ’14 and to do a research project involving audio feedback on student writing in fall ’14.  </w:t>
      </w:r>
    </w:p>
    <w:p w:rsidR="000236DC" w:rsidRPr="004E51BE" w:rsidRDefault="000236DC" w:rsidP="009B4BD3">
      <w:pPr>
        <w:pStyle w:val="ListParagraph"/>
        <w:ind w:left="1440"/>
        <w:rPr>
          <w:rFonts w:ascii="Times New Roman" w:hAnsi="Times New Roman"/>
          <w:sz w:val="16"/>
        </w:rPr>
      </w:pPr>
    </w:p>
    <w:p w:rsidR="00CD2694" w:rsidRDefault="00CD2694" w:rsidP="009B4BD3">
      <w:pPr>
        <w:pStyle w:val="ListParagraph"/>
        <w:ind w:left="1440"/>
        <w:rPr>
          <w:rFonts w:ascii="Times New Roman" w:hAnsi="Times New Roman"/>
        </w:rPr>
      </w:pPr>
      <w:r>
        <w:rPr>
          <w:rFonts w:ascii="Times New Roman" w:hAnsi="Times New Roman"/>
        </w:rPr>
        <w:t xml:space="preserve">Financially, the redesign is on solid, sustainable ground.  </w:t>
      </w:r>
      <w:r w:rsidR="00EF08A4">
        <w:rPr>
          <w:rFonts w:ascii="Times New Roman" w:hAnsi="Times New Roman"/>
        </w:rPr>
        <w:t xml:space="preserve">In addition to the cost savings from eliminating Engl 100A, we have also seen a recent Engl 100-related cost reduction which, though not directly related to the redesign, is an important change—moving to the new Performing Arts </w:t>
      </w:r>
      <w:r w:rsidR="00BE6319">
        <w:rPr>
          <w:rFonts w:ascii="Times New Roman" w:hAnsi="Times New Roman"/>
        </w:rPr>
        <w:t>and</w:t>
      </w:r>
      <w:r w:rsidR="00EF08A4">
        <w:rPr>
          <w:rFonts w:ascii="Times New Roman" w:hAnsi="Times New Roman"/>
        </w:rPr>
        <w:t xml:space="preserve"> Humanities building in fall 2012 has meant we no longer need to pay student assistants to staff the English department’s computer labs, or pay a faculty member a stipend to supervise them.  This change in our composition classes represents a savings that is roughly equivalent, for example, to the cost of the Writing Fellows program.  </w:t>
      </w:r>
      <w:r w:rsidR="004E51BE">
        <w:rPr>
          <w:rFonts w:ascii="Times New Roman" w:hAnsi="Times New Roman"/>
        </w:rPr>
        <w:t xml:space="preserve">Again, this change is not part of our course redesign, but it does ensure we are on solid footing with Engl 100 going forward.  </w:t>
      </w:r>
      <w:r w:rsidR="00EF08A4">
        <w:rPr>
          <w:rFonts w:ascii="Times New Roman" w:hAnsi="Times New Roman"/>
        </w:rPr>
        <w:t>Although the last few years have been challenging fiscal times for our English department and university, the teaching of first-year composition at UMBC</w:t>
      </w:r>
      <w:r w:rsidR="000236DC">
        <w:rPr>
          <w:rFonts w:ascii="Times New Roman" w:hAnsi="Times New Roman"/>
        </w:rPr>
        <w:t xml:space="preserve"> is ready for the future, moving forward with strong support and great energy, learning and growing as we go.</w:t>
      </w:r>
    </w:p>
    <w:p w:rsidR="00CD2694" w:rsidRDefault="00CD2694" w:rsidP="009B4BD3">
      <w:pPr>
        <w:pStyle w:val="ListParagraph"/>
        <w:ind w:left="1440"/>
        <w:rPr>
          <w:rFonts w:ascii="Times New Roman" w:hAnsi="Times New Roman"/>
        </w:rPr>
      </w:pPr>
    </w:p>
    <w:p w:rsidR="009B4BD3" w:rsidRPr="009B4BD3" w:rsidRDefault="009B4BD3" w:rsidP="009B4BD3">
      <w:pPr>
        <w:pStyle w:val="ListParagraph"/>
        <w:ind w:left="1440"/>
        <w:rPr>
          <w:rFonts w:ascii="Times New Roman" w:hAnsi="Times New Roman"/>
        </w:rPr>
      </w:pPr>
    </w:p>
    <w:p w:rsidR="004E51BE" w:rsidRDefault="004E51BE" w:rsidP="009B4BD3">
      <w:pPr>
        <w:ind w:left="720"/>
        <w:rPr>
          <w:rFonts w:ascii="Times New Roman" w:hAnsi="Times New Roman"/>
        </w:rPr>
      </w:pPr>
    </w:p>
    <w:p w:rsidR="005C107A" w:rsidRPr="004E51BE" w:rsidRDefault="005C107A" w:rsidP="004E51BE">
      <w:pPr>
        <w:rPr>
          <w:rFonts w:ascii="Times New Roman" w:hAnsi="Times New Roman"/>
          <w:b/>
        </w:rPr>
      </w:pPr>
    </w:p>
    <w:sectPr w:rsidR="005C107A" w:rsidRPr="004E51BE" w:rsidSect="005C10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C3"/>
    <w:multiLevelType w:val="hybridMultilevel"/>
    <w:tmpl w:val="C1845E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9A7398"/>
    <w:multiLevelType w:val="hybridMultilevel"/>
    <w:tmpl w:val="0BE6F558"/>
    <w:lvl w:ilvl="0" w:tplc="04090015">
      <w:start w:val="1"/>
      <w:numFmt w:val="upperLetter"/>
      <w:lvlText w:val="%1."/>
      <w:lvlJc w:val="left"/>
      <w:pPr>
        <w:ind w:left="720" w:hanging="360"/>
      </w:pPr>
      <w:rPr>
        <w:rFonts w:hint="default"/>
      </w:rPr>
    </w:lvl>
    <w:lvl w:ilvl="1" w:tplc="EF564B9E">
      <w:start w:val="1"/>
      <w:numFmt w:val="decimal"/>
      <w:lvlText w:val="%2."/>
      <w:lvlJc w:val="left"/>
      <w:pPr>
        <w:ind w:left="1440" w:hanging="360"/>
      </w:pPr>
      <w:rPr>
        <w:i w:val="0"/>
      </w:rPr>
    </w:lvl>
    <w:lvl w:ilvl="2" w:tplc="0409001B">
      <w:start w:val="1"/>
      <w:numFmt w:val="bullet"/>
      <w:lvlText w:val=""/>
      <w:lvlJc w:val="righ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24D72"/>
    <w:multiLevelType w:val="multilevel"/>
    <w:tmpl w:val="2108B69E"/>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righ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1F0CA4"/>
    <w:multiLevelType w:val="hybridMultilevel"/>
    <w:tmpl w:val="B9BCEE68"/>
    <w:lvl w:ilvl="0" w:tplc="04090015">
      <w:start w:val="3"/>
      <w:numFmt w:val="upperLetter"/>
      <w:lvlText w:val="%1."/>
      <w:lvlJc w:val="left"/>
      <w:pPr>
        <w:ind w:left="720" w:hanging="360"/>
      </w:pPr>
      <w:rPr>
        <w:rFonts w:hint="default"/>
      </w:rPr>
    </w:lvl>
    <w:lvl w:ilvl="1" w:tplc="9528BBA2">
      <w:start w:val="1"/>
      <w:numFmt w:val="decimal"/>
      <w:lvlText w:val="%2."/>
      <w:lvlJc w:val="left"/>
      <w:pPr>
        <w:ind w:left="1440" w:hanging="360"/>
      </w:pPr>
      <w:rPr>
        <w:i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B4465"/>
    <w:multiLevelType w:val="hybridMultilevel"/>
    <w:tmpl w:val="39A61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83724ED"/>
    <w:multiLevelType w:val="hybridMultilevel"/>
    <w:tmpl w:val="BC5231F0"/>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33347"/>
    <w:multiLevelType w:val="multilevel"/>
    <w:tmpl w:val="2108B69E"/>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7638"/>
    <w:rsid w:val="000236DC"/>
    <w:rsid w:val="001B70E8"/>
    <w:rsid w:val="002177E6"/>
    <w:rsid w:val="002F436E"/>
    <w:rsid w:val="00377A41"/>
    <w:rsid w:val="00427EF2"/>
    <w:rsid w:val="00431ABA"/>
    <w:rsid w:val="00477B8C"/>
    <w:rsid w:val="004E51BE"/>
    <w:rsid w:val="004F6740"/>
    <w:rsid w:val="0054340F"/>
    <w:rsid w:val="00575819"/>
    <w:rsid w:val="005C107A"/>
    <w:rsid w:val="005E244E"/>
    <w:rsid w:val="00637759"/>
    <w:rsid w:val="00664A15"/>
    <w:rsid w:val="006863B4"/>
    <w:rsid w:val="00732A4D"/>
    <w:rsid w:val="007D43AB"/>
    <w:rsid w:val="008F68AB"/>
    <w:rsid w:val="009B4BD3"/>
    <w:rsid w:val="009D5CB1"/>
    <w:rsid w:val="00A635ED"/>
    <w:rsid w:val="00A75CC7"/>
    <w:rsid w:val="00A92084"/>
    <w:rsid w:val="00A954AF"/>
    <w:rsid w:val="00AF33D6"/>
    <w:rsid w:val="00B37340"/>
    <w:rsid w:val="00BE0463"/>
    <w:rsid w:val="00BE6319"/>
    <w:rsid w:val="00C91D95"/>
    <w:rsid w:val="00CD2694"/>
    <w:rsid w:val="00D51B1D"/>
    <w:rsid w:val="00D6014C"/>
    <w:rsid w:val="00D83C32"/>
    <w:rsid w:val="00E25BB8"/>
    <w:rsid w:val="00E520E7"/>
    <w:rsid w:val="00ED7638"/>
    <w:rsid w:val="00EF08A4"/>
    <w:rsid w:val="00F04008"/>
    <w:rsid w:val="00F5254F"/>
    <w:rsid w:val="00F74330"/>
    <w:rsid w:val="00F74BF2"/>
    <w:rsid w:val="00FD15D0"/>
    <w:rsid w:val="00FD2578"/>
    <w:rsid w:val="00FD646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C5E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7638"/>
    <w:pPr>
      <w:ind w:left="720"/>
      <w:contextualSpacing/>
    </w:pPr>
  </w:style>
  <w:style w:type="table" w:styleId="TableGrid">
    <w:name w:val="Table Grid"/>
    <w:basedOn w:val="TableNormal"/>
    <w:uiPriority w:val="59"/>
    <w:rsid w:val="00A9208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943208">
      <w:bodyDiv w:val="1"/>
      <w:marLeft w:val="0"/>
      <w:marRight w:val="0"/>
      <w:marTop w:val="0"/>
      <w:marBottom w:val="0"/>
      <w:divBdr>
        <w:top w:val="none" w:sz="0" w:space="0" w:color="auto"/>
        <w:left w:val="none" w:sz="0" w:space="0" w:color="auto"/>
        <w:bottom w:val="none" w:sz="0" w:space="0" w:color="auto"/>
        <w:right w:val="none" w:sz="0" w:space="0" w:color="auto"/>
      </w:divBdr>
    </w:div>
    <w:div w:id="1776821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5</Pages>
  <Words>2247</Words>
  <Characters>9888</Characters>
  <Application>Microsoft Macintosh Word</Application>
  <DocSecurity>0</DocSecurity>
  <Lines>173</Lines>
  <Paragraphs>44</Paragraphs>
  <ScaleCrop>false</ScaleCrop>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Shivnan</dc:creator>
  <cp:keywords/>
  <cp:lastModifiedBy>Sally Shivnan</cp:lastModifiedBy>
  <cp:revision>9</cp:revision>
  <dcterms:created xsi:type="dcterms:W3CDTF">2013-09-11T19:44:00Z</dcterms:created>
  <dcterms:modified xsi:type="dcterms:W3CDTF">2013-09-21T22:24:00Z</dcterms:modified>
</cp:coreProperties>
</file>